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1EA9" w:rsidRPr="00A30E37" w:rsidRDefault="00651EA9" w:rsidP="00A16FA5">
      <w:pPr>
        <w:spacing w:after="0" w:line="480" w:lineRule="auto"/>
        <w:rPr>
          <w:rFonts w:ascii="Times New Roman" w:hAnsi="Times New Roman" w:cs="Times New Roman"/>
          <w:sz w:val="24"/>
          <w:szCs w:val="24"/>
        </w:rPr>
      </w:pPr>
    </w:p>
    <w:p w:rsidR="00651EA9" w:rsidRPr="00A30E37" w:rsidRDefault="00651EA9" w:rsidP="00A16FA5">
      <w:pPr>
        <w:spacing w:after="0" w:line="480" w:lineRule="auto"/>
        <w:rPr>
          <w:rFonts w:ascii="Times New Roman" w:hAnsi="Times New Roman" w:cs="Times New Roman"/>
          <w:sz w:val="24"/>
          <w:szCs w:val="24"/>
        </w:rPr>
      </w:pPr>
    </w:p>
    <w:p w:rsidR="00651EA9" w:rsidRPr="00A30E37" w:rsidRDefault="00651EA9" w:rsidP="00A16FA5">
      <w:pPr>
        <w:spacing w:after="0" w:line="480" w:lineRule="auto"/>
        <w:rPr>
          <w:rFonts w:ascii="Times New Roman" w:hAnsi="Times New Roman" w:cs="Times New Roman"/>
          <w:sz w:val="24"/>
          <w:szCs w:val="24"/>
        </w:rPr>
      </w:pPr>
    </w:p>
    <w:p w:rsidR="00651EA9" w:rsidRPr="00A30E37" w:rsidRDefault="00651EA9" w:rsidP="00A16FA5">
      <w:pPr>
        <w:spacing w:after="0" w:line="480" w:lineRule="auto"/>
        <w:rPr>
          <w:rFonts w:ascii="Times New Roman" w:hAnsi="Times New Roman" w:cs="Times New Roman"/>
          <w:sz w:val="24"/>
          <w:szCs w:val="24"/>
        </w:rPr>
      </w:pPr>
    </w:p>
    <w:p w:rsidR="00651EA9" w:rsidRPr="00A30E37" w:rsidRDefault="00651EA9" w:rsidP="00A16FA5">
      <w:pPr>
        <w:spacing w:after="0" w:line="480" w:lineRule="auto"/>
        <w:rPr>
          <w:rFonts w:ascii="Times New Roman" w:hAnsi="Times New Roman" w:cs="Times New Roman"/>
          <w:sz w:val="24"/>
          <w:szCs w:val="24"/>
        </w:rPr>
      </w:pPr>
    </w:p>
    <w:p w:rsidR="00651EA9" w:rsidRPr="00A30E37" w:rsidRDefault="00651EA9" w:rsidP="00A16FA5">
      <w:pPr>
        <w:spacing w:after="0" w:line="480" w:lineRule="auto"/>
        <w:rPr>
          <w:rFonts w:ascii="Times New Roman" w:hAnsi="Times New Roman" w:cs="Times New Roman"/>
          <w:sz w:val="24"/>
          <w:szCs w:val="24"/>
        </w:rPr>
      </w:pPr>
    </w:p>
    <w:p w:rsidR="00651EA9" w:rsidRPr="00A30E37" w:rsidRDefault="00651EA9" w:rsidP="00A16FA5">
      <w:pPr>
        <w:spacing w:after="0" w:line="480" w:lineRule="auto"/>
        <w:rPr>
          <w:rFonts w:ascii="Times New Roman" w:hAnsi="Times New Roman" w:cs="Times New Roman"/>
          <w:sz w:val="24"/>
          <w:szCs w:val="24"/>
        </w:rPr>
      </w:pPr>
    </w:p>
    <w:p w:rsidR="00651EA9" w:rsidRPr="00A30E37" w:rsidRDefault="00651EA9" w:rsidP="00A16FA5">
      <w:pPr>
        <w:spacing w:after="0" w:line="480" w:lineRule="auto"/>
        <w:rPr>
          <w:rFonts w:ascii="Times New Roman" w:hAnsi="Times New Roman" w:cs="Times New Roman"/>
          <w:sz w:val="24"/>
          <w:szCs w:val="24"/>
        </w:rPr>
      </w:pPr>
    </w:p>
    <w:p w:rsidR="00651EA9" w:rsidRPr="00A30E37" w:rsidRDefault="00651EA9" w:rsidP="00A16FA5">
      <w:pPr>
        <w:spacing w:after="0" w:line="480" w:lineRule="auto"/>
        <w:jc w:val="center"/>
        <w:rPr>
          <w:rFonts w:ascii="Times New Roman" w:hAnsi="Times New Roman" w:cs="Times New Roman"/>
          <w:sz w:val="24"/>
          <w:szCs w:val="24"/>
        </w:rPr>
      </w:pPr>
      <w:r>
        <w:rPr>
          <w:rFonts w:ascii="Times New Roman" w:hAnsi="Times New Roman" w:cs="Times New Roman"/>
          <w:sz w:val="24"/>
          <w:szCs w:val="24"/>
          <w:shd w:val="clear" w:color="auto" w:fill="FFFFFF"/>
        </w:rPr>
        <w:t>Equitable 21</w:t>
      </w:r>
      <w:r w:rsidRPr="00651EA9">
        <w:rPr>
          <w:rFonts w:ascii="Times New Roman" w:hAnsi="Times New Roman" w:cs="Times New Roman"/>
          <w:sz w:val="24"/>
          <w:szCs w:val="24"/>
          <w:shd w:val="clear" w:color="auto" w:fill="FFFFFF"/>
          <w:vertAlign w:val="superscript"/>
        </w:rPr>
        <w:t>st</w:t>
      </w:r>
      <w:r>
        <w:rPr>
          <w:rFonts w:ascii="Times New Roman" w:hAnsi="Times New Roman" w:cs="Times New Roman"/>
          <w:sz w:val="24"/>
          <w:szCs w:val="24"/>
          <w:shd w:val="clear" w:color="auto" w:fill="FFFFFF"/>
        </w:rPr>
        <w:t xml:space="preserve"> Century Policing </w:t>
      </w:r>
    </w:p>
    <w:p w:rsidR="00651EA9" w:rsidRPr="00A30E37" w:rsidRDefault="00651EA9" w:rsidP="00A16FA5">
      <w:pPr>
        <w:spacing w:after="0" w:line="480" w:lineRule="auto"/>
        <w:jc w:val="center"/>
        <w:rPr>
          <w:rFonts w:ascii="Times New Roman" w:hAnsi="Times New Roman" w:cs="Times New Roman"/>
          <w:sz w:val="24"/>
          <w:szCs w:val="24"/>
        </w:rPr>
      </w:pPr>
      <w:r w:rsidRPr="00A30E37">
        <w:rPr>
          <w:rFonts w:ascii="Times New Roman" w:hAnsi="Times New Roman" w:cs="Times New Roman"/>
          <w:sz w:val="24"/>
          <w:szCs w:val="24"/>
        </w:rPr>
        <w:t>Student Name:</w:t>
      </w:r>
    </w:p>
    <w:p w:rsidR="00651EA9" w:rsidRPr="00A30E37" w:rsidRDefault="00651EA9" w:rsidP="00A16FA5">
      <w:pPr>
        <w:spacing w:after="0" w:line="480" w:lineRule="auto"/>
        <w:jc w:val="center"/>
        <w:rPr>
          <w:rFonts w:ascii="Times New Roman" w:hAnsi="Times New Roman" w:cs="Times New Roman"/>
          <w:sz w:val="24"/>
          <w:szCs w:val="24"/>
        </w:rPr>
      </w:pPr>
      <w:r w:rsidRPr="00A30E37">
        <w:rPr>
          <w:rFonts w:ascii="Times New Roman" w:hAnsi="Times New Roman" w:cs="Times New Roman"/>
          <w:sz w:val="24"/>
          <w:szCs w:val="24"/>
        </w:rPr>
        <w:t xml:space="preserve">Institutional Affiliation </w:t>
      </w:r>
    </w:p>
    <w:p w:rsidR="00651EA9" w:rsidRPr="00A30E37" w:rsidRDefault="00651EA9" w:rsidP="00A16FA5">
      <w:pPr>
        <w:spacing w:after="0" w:line="480" w:lineRule="auto"/>
        <w:jc w:val="center"/>
        <w:rPr>
          <w:rFonts w:ascii="Times New Roman" w:hAnsi="Times New Roman" w:cs="Times New Roman"/>
          <w:sz w:val="24"/>
          <w:szCs w:val="24"/>
        </w:rPr>
      </w:pPr>
    </w:p>
    <w:p w:rsidR="00651EA9" w:rsidRPr="00A30E37" w:rsidRDefault="00651EA9" w:rsidP="00A16FA5">
      <w:pPr>
        <w:spacing w:after="0" w:line="480" w:lineRule="auto"/>
        <w:jc w:val="center"/>
        <w:rPr>
          <w:rFonts w:ascii="Times New Roman" w:hAnsi="Times New Roman" w:cs="Times New Roman"/>
          <w:sz w:val="24"/>
          <w:szCs w:val="24"/>
        </w:rPr>
      </w:pPr>
    </w:p>
    <w:p w:rsidR="00651EA9" w:rsidRPr="00A30E37" w:rsidRDefault="00651EA9" w:rsidP="00A16FA5">
      <w:pPr>
        <w:spacing w:after="0" w:line="480" w:lineRule="auto"/>
        <w:jc w:val="center"/>
        <w:rPr>
          <w:rFonts w:ascii="Times New Roman" w:hAnsi="Times New Roman" w:cs="Times New Roman"/>
          <w:sz w:val="24"/>
          <w:szCs w:val="24"/>
        </w:rPr>
      </w:pPr>
    </w:p>
    <w:p w:rsidR="00651EA9" w:rsidRPr="00A30E37" w:rsidRDefault="00651EA9" w:rsidP="00A16FA5">
      <w:pPr>
        <w:spacing w:after="0" w:line="480" w:lineRule="auto"/>
        <w:jc w:val="center"/>
        <w:rPr>
          <w:rFonts w:ascii="Times New Roman" w:hAnsi="Times New Roman" w:cs="Times New Roman"/>
          <w:sz w:val="24"/>
          <w:szCs w:val="24"/>
        </w:rPr>
      </w:pPr>
    </w:p>
    <w:p w:rsidR="00651EA9" w:rsidRPr="00A30E37" w:rsidRDefault="00651EA9" w:rsidP="00A16FA5">
      <w:pPr>
        <w:spacing w:after="0" w:line="480" w:lineRule="auto"/>
        <w:jc w:val="center"/>
        <w:rPr>
          <w:rFonts w:ascii="Times New Roman" w:hAnsi="Times New Roman" w:cs="Times New Roman"/>
          <w:sz w:val="24"/>
          <w:szCs w:val="24"/>
        </w:rPr>
      </w:pPr>
    </w:p>
    <w:p w:rsidR="00651EA9" w:rsidRPr="00A30E37" w:rsidRDefault="00651EA9" w:rsidP="00A16FA5">
      <w:pPr>
        <w:spacing w:after="0" w:line="480" w:lineRule="auto"/>
        <w:rPr>
          <w:rFonts w:ascii="Times New Roman" w:hAnsi="Times New Roman" w:cs="Times New Roman"/>
          <w:sz w:val="24"/>
          <w:szCs w:val="24"/>
        </w:rPr>
      </w:pPr>
    </w:p>
    <w:p w:rsidR="00651EA9" w:rsidRPr="00A30E37" w:rsidRDefault="00651EA9" w:rsidP="00A16FA5">
      <w:pPr>
        <w:spacing w:after="0" w:line="480" w:lineRule="auto"/>
        <w:jc w:val="center"/>
        <w:rPr>
          <w:rFonts w:ascii="Times New Roman" w:hAnsi="Times New Roman" w:cs="Times New Roman"/>
          <w:sz w:val="24"/>
          <w:szCs w:val="24"/>
        </w:rPr>
      </w:pPr>
    </w:p>
    <w:p w:rsidR="00651EA9" w:rsidRPr="00A30E37" w:rsidRDefault="00651EA9" w:rsidP="00A16FA5">
      <w:pPr>
        <w:spacing w:after="0" w:line="480" w:lineRule="auto"/>
        <w:jc w:val="center"/>
        <w:rPr>
          <w:rFonts w:ascii="Times New Roman" w:hAnsi="Times New Roman" w:cs="Times New Roman"/>
          <w:sz w:val="24"/>
          <w:szCs w:val="24"/>
        </w:rPr>
      </w:pPr>
    </w:p>
    <w:p w:rsidR="00651EA9" w:rsidRPr="00A30E37" w:rsidRDefault="00651EA9" w:rsidP="00A16FA5">
      <w:pPr>
        <w:spacing w:after="0" w:line="480" w:lineRule="auto"/>
        <w:jc w:val="center"/>
        <w:rPr>
          <w:rFonts w:ascii="Times New Roman" w:hAnsi="Times New Roman" w:cs="Times New Roman"/>
          <w:sz w:val="24"/>
          <w:szCs w:val="24"/>
        </w:rPr>
      </w:pPr>
    </w:p>
    <w:p w:rsidR="00651EA9" w:rsidRPr="00A30E37" w:rsidRDefault="00651EA9" w:rsidP="00A16FA5">
      <w:pPr>
        <w:spacing w:after="0" w:line="480" w:lineRule="auto"/>
        <w:jc w:val="center"/>
        <w:rPr>
          <w:rFonts w:ascii="Times New Roman" w:hAnsi="Times New Roman" w:cs="Times New Roman"/>
          <w:sz w:val="24"/>
          <w:szCs w:val="24"/>
        </w:rPr>
      </w:pPr>
    </w:p>
    <w:p w:rsidR="00651EA9" w:rsidRPr="00A30E37" w:rsidRDefault="00651EA9" w:rsidP="00A16FA5">
      <w:pPr>
        <w:spacing w:after="0" w:line="480" w:lineRule="auto"/>
        <w:rPr>
          <w:rFonts w:ascii="Times New Roman" w:hAnsi="Times New Roman" w:cs="Times New Roman"/>
          <w:sz w:val="24"/>
          <w:szCs w:val="24"/>
        </w:rPr>
      </w:pPr>
    </w:p>
    <w:p w:rsidR="00651EA9" w:rsidRPr="00A30E37" w:rsidRDefault="00651EA9" w:rsidP="00A16FA5">
      <w:pPr>
        <w:spacing w:after="0" w:line="480" w:lineRule="auto"/>
        <w:rPr>
          <w:rFonts w:ascii="Times New Roman" w:hAnsi="Times New Roman" w:cs="Times New Roman"/>
          <w:sz w:val="24"/>
          <w:szCs w:val="24"/>
        </w:rPr>
      </w:pPr>
    </w:p>
    <w:p w:rsidR="002C0A84" w:rsidRPr="00292154" w:rsidRDefault="002C0A84" w:rsidP="00A16FA5">
      <w:pPr>
        <w:spacing w:after="0" w:line="480" w:lineRule="auto"/>
        <w:jc w:val="center"/>
        <w:rPr>
          <w:rFonts w:ascii="Times New Roman" w:hAnsi="Times New Roman" w:cs="Times New Roman"/>
          <w:sz w:val="24"/>
          <w:szCs w:val="24"/>
          <w:shd w:val="clear" w:color="auto" w:fill="FFFFFF"/>
        </w:rPr>
      </w:pPr>
      <w:r w:rsidRPr="00292154">
        <w:rPr>
          <w:rFonts w:ascii="Times New Roman" w:hAnsi="Times New Roman" w:cs="Times New Roman"/>
          <w:sz w:val="24"/>
          <w:szCs w:val="24"/>
          <w:shd w:val="clear" w:color="auto" w:fill="FFFFFF"/>
        </w:rPr>
        <w:lastRenderedPageBreak/>
        <w:t>Equitable 21</w:t>
      </w:r>
      <w:r w:rsidRPr="00292154">
        <w:rPr>
          <w:rFonts w:ascii="Times New Roman" w:hAnsi="Times New Roman" w:cs="Times New Roman"/>
          <w:sz w:val="24"/>
          <w:szCs w:val="24"/>
          <w:shd w:val="clear" w:color="auto" w:fill="FFFFFF"/>
          <w:vertAlign w:val="superscript"/>
        </w:rPr>
        <w:t>st</w:t>
      </w:r>
      <w:r w:rsidRPr="00292154">
        <w:rPr>
          <w:rFonts w:ascii="Times New Roman" w:hAnsi="Times New Roman" w:cs="Times New Roman"/>
          <w:sz w:val="24"/>
          <w:szCs w:val="24"/>
          <w:shd w:val="clear" w:color="auto" w:fill="FFFFFF"/>
        </w:rPr>
        <w:t xml:space="preserve"> Century Policing </w:t>
      </w:r>
    </w:p>
    <w:p w:rsidR="002C0A84" w:rsidRDefault="002C0A84" w:rsidP="00A16FA5">
      <w:pPr>
        <w:spacing w:after="0"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Introduction </w:t>
      </w:r>
    </w:p>
    <w:p w:rsidR="00A16FA5" w:rsidRDefault="00C93AE3" w:rsidP="00A16FA5">
      <w:pPr>
        <w:pStyle w:val="NormalWeb"/>
        <w:spacing w:before="0" w:beforeAutospacing="0" w:after="0" w:afterAutospacing="0" w:line="480" w:lineRule="auto"/>
        <w:rPr>
          <w:color w:val="0E101A"/>
        </w:rPr>
      </w:pPr>
      <w:r>
        <w:rPr>
          <w:b/>
          <w:shd w:val="clear" w:color="auto" w:fill="FFFFFF"/>
        </w:rPr>
        <w:tab/>
      </w:r>
      <w:r w:rsidR="00A16FA5">
        <w:rPr>
          <w:color w:val="0E101A"/>
        </w:rPr>
        <w:t>Police officers greatly help societies in producing justice when they ensure that offenders are held accountable for their actions. The performance of the police department is usually measured via rates of clearance for numerous crimes. In this regard, at least one person has to be arrested for criminal activity and charged by a law court so that appropriate legal action is implemented. There is an increased need for trust between the public and law enforcement agencies if democracy is to be enhanced. The trust aspect is important because it facilitates effective and safe policing services delivery. It also plays a central role in promoting the criminal justice system’s integrity while enhancing the stability of communities. Recent events have revealed that there is a significant rift between police officers and the communities they serve and protect. This paper seeks to examine the various attributes related to equitable 21st century policing. </w:t>
      </w:r>
    </w:p>
    <w:p w:rsidR="00A16FA5" w:rsidRDefault="00A16FA5" w:rsidP="00A16FA5">
      <w:pPr>
        <w:pStyle w:val="NormalWeb"/>
        <w:spacing w:before="0" w:beforeAutospacing="0" w:after="0" w:afterAutospacing="0" w:line="480" w:lineRule="auto"/>
        <w:jc w:val="center"/>
        <w:rPr>
          <w:color w:val="0E101A"/>
        </w:rPr>
      </w:pPr>
      <w:r>
        <w:rPr>
          <w:rStyle w:val="Strong"/>
          <w:color w:val="0E101A"/>
        </w:rPr>
        <w:t>21st Century Policing</w:t>
      </w:r>
    </w:p>
    <w:p w:rsidR="00A16FA5" w:rsidRDefault="00A16FA5" w:rsidP="00A16FA5">
      <w:pPr>
        <w:pStyle w:val="NormalWeb"/>
        <w:spacing w:before="0" w:beforeAutospacing="0" w:after="0" w:afterAutospacing="0" w:line="480" w:lineRule="auto"/>
        <w:rPr>
          <w:color w:val="0E101A"/>
        </w:rPr>
      </w:pPr>
      <w:r>
        <w:rPr>
          <w:rStyle w:val="Strong"/>
          <w:color w:val="0E101A"/>
        </w:rPr>
        <w:t>           </w:t>
      </w:r>
      <w:r>
        <w:rPr>
          <w:color w:val="0E101A"/>
        </w:rPr>
        <w:t>With research evidence revealing the presence of a poor relationship between police officers and members of the public, the government is presented with the responsibility of ensuring that appropriate reforms in policing to alleviate the situation. In 2014, the President of the United States Barack Obama directed that necessary actions be taken to improve the policing function. As a result, a task force on 21st Century Policing was developed. Developed in December 2014, the task force aimed at strengthening the general community policing while strengthening trust among communities and law enforcement officers who serve them (</w:t>
      </w:r>
      <w:proofErr w:type="spellStart"/>
      <w:r>
        <w:rPr>
          <w:color w:val="0E101A"/>
        </w:rPr>
        <w:t>Lum</w:t>
      </w:r>
      <w:proofErr w:type="spellEnd"/>
      <w:r>
        <w:rPr>
          <w:color w:val="0E101A"/>
        </w:rPr>
        <w:t xml:space="preserve">, Koper, Gill, </w:t>
      </w:r>
      <w:proofErr w:type="spellStart"/>
      <w:r>
        <w:rPr>
          <w:color w:val="0E101A"/>
        </w:rPr>
        <w:t>Hibdon</w:t>
      </w:r>
      <w:proofErr w:type="spellEnd"/>
      <w:r>
        <w:rPr>
          <w:color w:val="0E101A"/>
        </w:rPr>
        <w:t xml:space="preserve">, </w:t>
      </w:r>
      <w:proofErr w:type="spellStart"/>
      <w:r>
        <w:rPr>
          <w:color w:val="0E101A"/>
        </w:rPr>
        <w:t>Telep</w:t>
      </w:r>
      <w:proofErr w:type="spellEnd"/>
      <w:r>
        <w:rPr>
          <w:color w:val="0E101A"/>
        </w:rPr>
        <w:t xml:space="preserve"> &amp; Robinson, 2016). As a result, the public has expressed its perceptions of the police officers at the present, including how those perceptions have been </w:t>
      </w:r>
      <w:r>
        <w:rPr>
          <w:color w:val="0E101A"/>
        </w:rPr>
        <w:lastRenderedPageBreak/>
        <w:t>transformed over time. It is highly expected that there are significant distinctions between whites and blacks on many questions targeting police officers. </w:t>
      </w:r>
    </w:p>
    <w:p w:rsidR="00A16FA5" w:rsidRDefault="00A16FA5" w:rsidP="00A16FA5">
      <w:pPr>
        <w:pStyle w:val="NormalWeb"/>
        <w:spacing w:before="0" w:beforeAutospacing="0" w:after="0" w:afterAutospacing="0" w:line="480" w:lineRule="auto"/>
        <w:rPr>
          <w:color w:val="0E101A"/>
        </w:rPr>
      </w:pPr>
      <w:r>
        <w:rPr>
          <w:color w:val="0E101A"/>
        </w:rPr>
        <w:t>           Various researchers have endeavored to identify the confidence of law enforcement agencies and related institutions. The U.S. citizens have expressed a significantly higher confidence level in the police. Surprisingly, the responses of the public have experienced remarkable transformations over the last two decades (</w:t>
      </w:r>
      <w:proofErr w:type="spellStart"/>
      <w:r>
        <w:rPr>
          <w:color w:val="0E101A"/>
        </w:rPr>
        <w:t>Lum</w:t>
      </w:r>
      <w:proofErr w:type="spellEnd"/>
      <w:r>
        <w:rPr>
          <w:color w:val="0E101A"/>
        </w:rPr>
        <w:t xml:space="preserve"> et al., 2016). The greatest concern in the 21st century policing is manifested in the differences in treatment experienced by offenders based on race, particularly blacks and whites. A 1969 study seeking to identify the policing discrimination against blacks revealed that about 75 percent and 19 percent of blacks and whites respectively agreed, which shows a 56-point gap. A similar online survey conducted in December 2014 revealed that 86 percent and 48 percent of blacks and whites respectively agreed that there was policing discrimination against blacks, which reveals a gap of 38 points. </w:t>
      </w:r>
    </w:p>
    <w:p w:rsidR="00A16FA5" w:rsidRDefault="00A16FA5" w:rsidP="00A16FA5">
      <w:pPr>
        <w:pStyle w:val="NormalWeb"/>
        <w:spacing w:before="0" w:beforeAutospacing="0" w:after="0" w:afterAutospacing="0" w:line="480" w:lineRule="auto"/>
        <w:rPr>
          <w:color w:val="0E101A"/>
        </w:rPr>
      </w:pPr>
      <w:r>
        <w:rPr>
          <w:color w:val="0E101A"/>
        </w:rPr>
        <w:t xml:space="preserve">           Although there are deep racial rifts in policing activities, Americans have managed to establish differences between police serving in communities and police in general. A recent poll has shown that 58 percent of blacks and 80 percent of whites asserted that they had a higher level of confidence that the police have performed well in law enforcement activities (Braga &amp; </w:t>
      </w:r>
      <w:proofErr w:type="spellStart"/>
      <w:r>
        <w:rPr>
          <w:color w:val="0E101A"/>
        </w:rPr>
        <w:t>Dusseault</w:t>
      </w:r>
      <w:proofErr w:type="spellEnd"/>
      <w:r>
        <w:rPr>
          <w:color w:val="0E101A"/>
        </w:rPr>
        <w:t xml:space="preserve">, 2017). The majority of blacks and whites postulated that police officers positively contributed to the enhancement of communities they serve. To this end, 61 percent of blacks and 80 percent of whites exhibited greater confidence that police officers were effective in protecting them from violent crimes in their communities (Braga &amp; </w:t>
      </w:r>
      <w:proofErr w:type="spellStart"/>
      <w:r>
        <w:rPr>
          <w:color w:val="0E101A"/>
        </w:rPr>
        <w:t>Dusseault</w:t>
      </w:r>
      <w:proofErr w:type="spellEnd"/>
      <w:r>
        <w:rPr>
          <w:color w:val="0E101A"/>
        </w:rPr>
        <w:t>, 2017).</w:t>
      </w:r>
    </w:p>
    <w:p w:rsidR="00A16FA5" w:rsidRDefault="00A16FA5" w:rsidP="00A16FA5">
      <w:pPr>
        <w:pStyle w:val="NormalWeb"/>
        <w:spacing w:before="0" w:beforeAutospacing="0" w:after="0" w:afterAutospacing="0" w:line="480" w:lineRule="auto"/>
        <w:rPr>
          <w:color w:val="0E101A"/>
        </w:rPr>
      </w:pPr>
      <w:r>
        <w:rPr>
          <w:color w:val="0E101A"/>
        </w:rPr>
        <w:t xml:space="preserve">           However, major cities in the United States such as New York City and Los Angeles have portrayed numerous high-profile incidences that are characterized by police behavior that is questionable. The public opinion on undesirable police behavior has created diverse perceptions </w:t>
      </w:r>
      <w:r>
        <w:rPr>
          <w:color w:val="0E101A"/>
        </w:rPr>
        <w:lastRenderedPageBreak/>
        <w:t xml:space="preserve">of how the police officers ought to undertake their numerous responsibilities (Braga &amp; </w:t>
      </w:r>
      <w:proofErr w:type="spellStart"/>
      <w:r>
        <w:rPr>
          <w:color w:val="0E101A"/>
        </w:rPr>
        <w:t>Dusseault</w:t>
      </w:r>
      <w:proofErr w:type="spellEnd"/>
      <w:r>
        <w:rPr>
          <w:color w:val="0E101A"/>
        </w:rPr>
        <w:t>, 2017). The aspect of the racial gap on the police officers is deep-seated and long-standing. The commitment of the police administration towards promoting trust among communities and law enforcement officers is a broad area of concern, which implies that different reforms need to be implementing towards promoting policing in the 21st century whereby equity becomes the norm. </w:t>
      </w:r>
    </w:p>
    <w:p w:rsidR="00A16FA5" w:rsidRDefault="00A16FA5" w:rsidP="00A16FA5">
      <w:pPr>
        <w:pStyle w:val="NormalWeb"/>
        <w:spacing w:before="0" w:beforeAutospacing="0" w:after="0" w:afterAutospacing="0" w:line="480" w:lineRule="auto"/>
        <w:jc w:val="center"/>
        <w:rPr>
          <w:color w:val="0E101A"/>
        </w:rPr>
      </w:pPr>
      <w:r>
        <w:rPr>
          <w:rStyle w:val="Strong"/>
          <w:color w:val="0E101A"/>
        </w:rPr>
        <w:t>Workforce Crisis in Policing</w:t>
      </w:r>
    </w:p>
    <w:p w:rsidR="00A16FA5" w:rsidRDefault="00A16FA5" w:rsidP="00A16FA5">
      <w:pPr>
        <w:pStyle w:val="NormalWeb"/>
        <w:spacing w:before="0" w:beforeAutospacing="0" w:after="0" w:afterAutospacing="0" w:line="480" w:lineRule="auto"/>
        <w:rPr>
          <w:color w:val="0E101A"/>
        </w:rPr>
      </w:pPr>
      <w:r>
        <w:rPr>
          <w:rStyle w:val="Strong"/>
          <w:color w:val="0E101A"/>
        </w:rPr>
        <w:t>           </w:t>
      </w:r>
      <w:r>
        <w:rPr>
          <w:color w:val="0E101A"/>
        </w:rPr>
        <w:t xml:space="preserve">In the 21st century, the policing profession is experiencing a workforce crisis due to fewer people applying and more individuals leaving the profession. The understaffed profession has, therefore, witnessed increased problems in the development of a diverse workforce (Haddad, </w:t>
      </w:r>
      <w:proofErr w:type="spellStart"/>
      <w:r>
        <w:rPr>
          <w:color w:val="0E101A"/>
        </w:rPr>
        <w:t>Giglio</w:t>
      </w:r>
      <w:proofErr w:type="spellEnd"/>
      <w:r>
        <w:rPr>
          <w:color w:val="0E101A"/>
        </w:rPr>
        <w:t>, Keller &amp; Lim, 2012). Agencies of law enforcement regardless of their size are facing an increased workforce crisis. There is a diminished traditional sources of job applications such as family and military members of present policing officers. This decline in demand for the policing profession can be attributed to strong employment growth and a robust economy in the United States, which has created more alternatives for people to enter the labor market (Haddad et al., 2012). The bottom line is that police agencies are experiencing hiring competition from other professions.</w:t>
      </w:r>
    </w:p>
    <w:p w:rsidR="00A16FA5" w:rsidRDefault="00A16FA5" w:rsidP="00A16FA5">
      <w:pPr>
        <w:pStyle w:val="NormalWeb"/>
        <w:spacing w:before="0" w:beforeAutospacing="0" w:after="0" w:afterAutospacing="0" w:line="480" w:lineRule="auto"/>
        <w:rPr>
          <w:color w:val="0E101A"/>
        </w:rPr>
      </w:pPr>
      <w:r>
        <w:rPr>
          <w:color w:val="0E101A"/>
        </w:rPr>
        <w:t xml:space="preserve">           The workforce crisis in the policing profession is becoming more complicated due to the changes experienced in the profession itself. The responsibilities of police officers are currently associated with increased challenges (Bayley, 2016). There is a growth of new types of crimes, particularly with the increased use of computers in the commission of traditional crimes aided by technology. To this end, law enforcement officers are required to have a clearer understanding of the use of new technologies. Moreover, police officers are currently required to take part in </w:t>
      </w:r>
      <w:r>
        <w:rPr>
          <w:color w:val="0E101A"/>
        </w:rPr>
        <w:lastRenderedPageBreak/>
        <w:t>addressing social problems such as homelessness, substance abuse, as well as untreated mental illness among others. Therefore, life experiences, temperament, and skills required for successful policing have become more complex (Bayley, 2016). The implication is that despite the need to cover the increasing shortage of officers, police departments are required to raise the bar in terms of hiring individuals who are highly skillful and talented.</w:t>
      </w:r>
    </w:p>
    <w:p w:rsidR="00A16FA5" w:rsidRDefault="00A16FA5" w:rsidP="00A16FA5">
      <w:pPr>
        <w:pStyle w:val="NormalWeb"/>
        <w:spacing w:before="0" w:beforeAutospacing="0" w:after="0" w:afterAutospacing="0" w:line="480" w:lineRule="auto"/>
        <w:jc w:val="center"/>
        <w:rPr>
          <w:color w:val="0E101A"/>
        </w:rPr>
      </w:pPr>
      <w:r>
        <w:rPr>
          <w:rStyle w:val="Strong"/>
          <w:color w:val="0E101A"/>
        </w:rPr>
        <w:t>21st Century Policing Themes</w:t>
      </w:r>
    </w:p>
    <w:p w:rsidR="00A16FA5" w:rsidRDefault="00A16FA5" w:rsidP="00A16FA5">
      <w:pPr>
        <w:pStyle w:val="NormalWeb"/>
        <w:spacing w:before="0" w:beforeAutospacing="0" w:after="0" w:afterAutospacing="0" w:line="480" w:lineRule="auto"/>
        <w:rPr>
          <w:color w:val="0E101A"/>
        </w:rPr>
      </w:pPr>
      <w:r>
        <w:rPr>
          <w:rStyle w:val="Strong"/>
          <w:color w:val="0E101A"/>
        </w:rPr>
        <w:t>           </w:t>
      </w:r>
      <w:r>
        <w:rPr>
          <w:color w:val="0E101A"/>
        </w:rPr>
        <w:t>There are various themes that guide the 21st century policing. These include changing policing culture, embracing community policing, ensuring impartial and fair policing, building community capital, paying attention to safety and wellness of officers, and technology. In order to change the policing culture, law enforcement officers and agencies have aimed at protecting human rights and dignity for all people regardless of race or any other demographics (Bayley, 2016). These agencies are required to be champions and protectors of the laws of the land. This attribute asserts that police officers play a central role in promoting democracy, which calls for the law enforcement organizations and their leadership to remain committed to their cause as a way of ensuring that external and internal procedures, practices, and policies guide the organizations and individual officers towards becoming more accountable to the public they are serving (Bayley, 2016).</w:t>
      </w:r>
    </w:p>
    <w:p w:rsidR="00A16FA5" w:rsidRDefault="00A16FA5" w:rsidP="00A16FA5">
      <w:pPr>
        <w:pStyle w:val="NormalWeb"/>
        <w:spacing w:before="0" w:beforeAutospacing="0" w:after="0" w:afterAutospacing="0" w:line="480" w:lineRule="auto"/>
        <w:rPr>
          <w:color w:val="0E101A"/>
        </w:rPr>
      </w:pPr>
      <w:r>
        <w:rPr>
          <w:color w:val="0E101A"/>
        </w:rPr>
        <w:t xml:space="preserve">           In embracing community policing, the notion is to ensure that police officers remain committed to working with communities as a way of tackling both long-term and short-term causes of crime. Research evidence has pointed out that joint problem-solving is capable of lowering rates of crime while improving the general quality of life. In addition, community policing improves the relationship between law enforcement officers and members of the public. It also ensures that individuals are highly likely to adhere to the law. The theme of impartial and </w:t>
      </w:r>
      <w:r>
        <w:rPr>
          <w:color w:val="0E101A"/>
        </w:rPr>
        <w:lastRenderedPageBreak/>
        <w:t>fair policing is based on procedural justice, which operates under four principles (</w:t>
      </w:r>
      <w:proofErr w:type="spellStart"/>
      <w:r>
        <w:rPr>
          <w:color w:val="0E101A"/>
        </w:rPr>
        <w:t>Quattlebaum</w:t>
      </w:r>
      <w:proofErr w:type="spellEnd"/>
      <w:r>
        <w:rPr>
          <w:color w:val="0E101A"/>
        </w:rPr>
        <w:t xml:space="preserve">, </w:t>
      </w:r>
      <w:proofErr w:type="spellStart"/>
      <w:r>
        <w:rPr>
          <w:color w:val="0E101A"/>
        </w:rPr>
        <w:t>Meares</w:t>
      </w:r>
      <w:proofErr w:type="spellEnd"/>
      <w:r>
        <w:rPr>
          <w:color w:val="0E101A"/>
        </w:rPr>
        <w:t xml:space="preserve"> &amp; Tyler, 2018). According to the principles, all people should be treated with respect and dignity, everyone should be heard during encounters, decision-making should be transparent and neutral, and motives should be conveyed in a trustworthy manner. The practice of procedural justice calls for a better understanding of the negative consequences of implicit and explicit bias on the relationship between the police and communities (</w:t>
      </w:r>
      <w:proofErr w:type="spellStart"/>
      <w:r>
        <w:rPr>
          <w:color w:val="0E101A"/>
        </w:rPr>
        <w:t>Quattlebaum</w:t>
      </w:r>
      <w:proofErr w:type="spellEnd"/>
      <w:r>
        <w:rPr>
          <w:color w:val="0E101A"/>
        </w:rPr>
        <w:t xml:space="preserve">, </w:t>
      </w:r>
      <w:proofErr w:type="spellStart"/>
      <w:r>
        <w:rPr>
          <w:color w:val="0E101A"/>
        </w:rPr>
        <w:t>Meares</w:t>
      </w:r>
      <w:proofErr w:type="spellEnd"/>
      <w:r>
        <w:rPr>
          <w:color w:val="0E101A"/>
        </w:rPr>
        <w:t xml:space="preserve"> &amp; Tyler, 2018).</w:t>
      </w:r>
    </w:p>
    <w:p w:rsidR="00A16FA5" w:rsidRDefault="00A16FA5" w:rsidP="00A16FA5">
      <w:pPr>
        <w:pStyle w:val="NormalWeb"/>
        <w:spacing w:before="0" w:beforeAutospacing="0" w:after="0" w:afterAutospacing="0" w:line="480" w:lineRule="auto"/>
        <w:rPr>
          <w:color w:val="0E101A"/>
        </w:rPr>
      </w:pPr>
      <w:r>
        <w:rPr>
          <w:color w:val="0E101A"/>
        </w:rPr>
        <w:t>           Establishing community capital is largely dependent on legitimacy and trust, which tend to emanate from positive interactions related to law enforcement. Agencies tasked with the responsibility of enforcing law and order are capable of realizing legitimacy and trust through the establishment of positive presence at events and activities involving the community (</w:t>
      </w:r>
      <w:proofErr w:type="spellStart"/>
      <w:r>
        <w:rPr>
          <w:color w:val="0E101A"/>
        </w:rPr>
        <w:t>Quattlebaum</w:t>
      </w:r>
      <w:proofErr w:type="spellEnd"/>
      <w:r>
        <w:rPr>
          <w:color w:val="0E101A"/>
        </w:rPr>
        <w:t xml:space="preserve">, </w:t>
      </w:r>
      <w:proofErr w:type="spellStart"/>
      <w:r>
        <w:rPr>
          <w:color w:val="0E101A"/>
        </w:rPr>
        <w:t>Meares</w:t>
      </w:r>
      <w:proofErr w:type="spellEnd"/>
      <w:r>
        <w:rPr>
          <w:color w:val="0E101A"/>
        </w:rPr>
        <w:t xml:space="preserve"> &amp; Tyler, 2018). In addition, the police may proactively participate in solving different community problems while also ensuring that the voice of the public is heard. </w:t>
      </w:r>
    </w:p>
    <w:p w:rsidR="00A16FA5" w:rsidRDefault="00A16FA5" w:rsidP="00A16FA5">
      <w:pPr>
        <w:pStyle w:val="NormalWeb"/>
        <w:spacing w:before="0" w:beforeAutospacing="0" w:after="0" w:afterAutospacing="0" w:line="480" w:lineRule="auto"/>
        <w:rPr>
          <w:color w:val="0E101A"/>
        </w:rPr>
      </w:pPr>
      <w:r>
        <w:rPr>
          <w:color w:val="0E101A"/>
        </w:rPr>
        <w:t xml:space="preserve">           The other theme of the 21st century policing involves paying attention to the safety and wellness of police officers. Undoubtedly, law enforcement officers are presented with diverse stresses and threats, which are capable of directly affecting their well-being and safety. To this end, it is important to ensure that the officers are provided with various tools that enhance their safety such as training, tactical first aid kits, and bulletproof vests (ACLU, 2009). Moreover, the wellness of police officers may be enhanced through mental, social, and physical health support. The last theme relates to the integration of technology in policing activities. Technological advancements experienced in the recent past have tremendously improved the transparency and efficiency of diverse policing operations. It has also raised privacy concerns among law enforcement officers. Social media, communication, force technologies, and body-worn cameras among other technology tools calls for a pragmatic and legal review of procedures, practices, and </w:t>
      </w:r>
      <w:r>
        <w:rPr>
          <w:color w:val="0E101A"/>
        </w:rPr>
        <w:lastRenderedPageBreak/>
        <w:t>policies (ACLU, 2009). These procedures, practices, and policies need to be established with the contribution of various constitutional scholars and communities.</w:t>
      </w:r>
    </w:p>
    <w:p w:rsidR="00A16FA5" w:rsidRDefault="00A16FA5" w:rsidP="00A16FA5">
      <w:pPr>
        <w:pStyle w:val="NormalWeb"/>
        <w:spacing w:before="0" w:beforeAutospacing="0" w:after="0" w:afterAutospacing="0" w:line="480" w:lineRule="auto"/>
        <w:jc w:val="center"/>
        <w:rPr>
          <w:color w:val="0E101A"/>
        </w:rPr>
      </w:pPr>
      <w:r>
        <w:rPr>
          <w:rStyle w:val="Strong"/>
          <w:color w:val="0E101A"/>
        </w:rPr>
        <w:t>Implementation of the Equitable 21st Century Policing</w:t>
      </w:r>
    </w:p>
    <w:p w:rsidR="00A16FA5" w:rsidRDefault="00A16FA5" w:rsidP="00A16FA5">
      <w:pPr>
        <w:pStyle w:val="NormalWeb"/>
        <w:spacing w:before="0" w:beforeAutospacing="0" w:after="0" w:afterAutospacing="0" w:line="480" w:lineRule="auto"/>
        <w:rPr>
          <w:color w:val="0E101A"/>
        </w:rPr>
      </w:pPr>
      <w:r>
        <w:rPr>
          <w:rStyle w:val="Strong"/>
          <w:color w:val="0E101A"/>
        </w:rPr>
        <w:t>           </w:t>
      </w:r>
      <w:r>
        <w:rPr>
          <w:color w:val="0E101A"/>
        </w:rPr>
        <w:t xml:space="preserve">Local government officials, whether appointed or elected, communities, and agencies for law enforcement play a central role in implementing the various reforms that are faced in the 21 century policing. All the responsible stakeholders are required to support the reforms as a way of reducing crime, enhancing equity, and building legitimacy and trust. Successful communities are largely characterized by partnerships and collaboration of all the stakeholders involved in policing activities (ACLU, 2009). Effective implementation of policing endeavors requires listening, planning, and actual implementation strategies. Government officials need to listen to the voice of the community while also addressing the needs expressed by police officers. Venues such as church gatherings and community meetings may be utilized in the creation of an environment whereby the community will have the conviction that their voice is heard. Informal and formal mechanisms like interviewing citizens, social media, focus groups, and surveys may also be used in gaining insights on community ideas or concerns (Roeder, </w:t>
      </w:r>
      <w:proofErr w:type="spellStart"/>
      <w:r>
        <w:rPr>
          <w:color w:val="0E101A"/>
        </w:rPr>
        <w:t>Eisen</w:t>
      </w:r>
      <w:proofErr w:type="spellEnd"/>
      <w:r>
        <w:rPr>
          <w:color w:val="0E101A"/>
        </w:rPr>
        <w:t xml:space="preserve">, Bowling, Stiglitz &amp; </w:t>
      </w:r>
      <w:proofErr w:type="spellStart"/>
      <w:r>
        <w:rPr>
          <w:color w:val="0E101A"/>
        </w:rPr>
        <w:t>Chettiar</w:t>
      </w:r>
      <w:proofErr w:type="spellEnd"/>
      <w:r>
        <w:rPr>
          <w:color w:val="0E101A"/>
        </w:rPr>
        <w:t>, 2015).</w:t>
      </w:r>
    </w:p>
    <w:p w:rsidR="00A16FA5" w:rsidRDefault="00A16FA5" w:rsidP="00A16FA5">
      <w:pPr>
        <w:pStyle w:val="NormalWeb"/>
        <w:spacing w:before="0" w:beforeAutospacing="0" w:after="0" w:afterAutospacing="0" w:line="480" w:lineRule="auto"/>
        <w:rPr>
          <w:color w:val="0E101A"/>
        </w:rPr>
      </w:pPr>
      <w:r>
        <w:rPr>
          <w:color w:val="0E101A"/>
        </w:rPr>
        <w:t xml:space="preserve">           Planning is also necessary for the implementation of 21st century policing. As a way of effectively addressing the primary concerns of legitimacy and trust, there is a need for leaders to develop a planning group that features all stakeholders involved in policing (President’s Task Force on 21st Century Policing, 2015). The review and assessment of the recommendations offered by the task force provide the policing leadership with an opportunity of discovering the relevance of individual recommendations that greatly enhance equity in the context of the community. An assessment of prescribed interventions will greatly determine their </w:t>
      </w:r>
      <w:r>
        <w:rPr>
          <w:color w:val="0E101A"/>
        </w:rPr>
        <w:lastRenderedPageBreak/>
        <w:t>appropriateness to the community and law enforcement agencies (President’s Task Force on 21st Century Policing, 2015). During the planning process, it is possible for the government to effectively address numerous challenges and problems that may arise through including all stakeholders and observing transparency at all levels.</w:t>
      </w:r>
    </w:p>
    <w:p w:rsidR="00A16FA5" w:rsidRDefault="00A16FA5" w:rsidP="00A16FA5">
      <w:pPr>
        <w:pStyle w:val="NormalWeb"/>
        <w:spacing w:before="0" w:beforeAutospacing="0" w:after="0" w:afterAutospacing="0" w:line="480" w:lineRule="auto"/>
        <w:rPr>
          <w:color w:val="0E101A"/>
        </w:rPr>
      </w:pPr>
      <w:r>
        <w:rPr>
          <w:color w:val="0E101A"/>
        </w:rPr>
        <w:t>           Implementation mechanisms are necessary for the movement from planning to action inequitable 21st century policing. The mechanism of implementation is an adequate representation of the groups that are greatly impacted by the enforcement of policing laws as well as those with the resources, authority, and capacity of making the proposed changes happen. Law enforcement leadership ads local officials need to be aware of the authority that makes the ultimate change in the areas of concern (President’s Task Force on 21st Century Policing, 2015). There is a high likelihood that failure to involve the appropriate stakeholders has the capacity of sabotaging the policing planning process. A method of measuring and monitoring the various activities being undertaken is necessary. Moreover, a feedback look is also required as it helps in identifying the unintended effects as a way of enhancing the responsiveness to concerns expressed by the community. </w:t>
      </w:r>
    </w:p>
    <w:p w:rsidR="00A16FA5" w:rsidRDefault="00A16FA5" w:rsidP="00A16FA5">
      <w:pPr>
        <w:pStyle w:val="NormalWeb"/>
        <w:spacing w:before="0" w:beforeAutospacing="0" w:after="0" w:afterAutospacing="0" w:line="480" w:lineRule="auto"/>
        <w:jc w:val="center"/>
        <w:rPr>
          <w:color w:val="0E101A"/>
        </w:rPr>
      </w:pPr>
      <w:r>
        <w:rPr>
          <w:rStyle w:val="Strong"/>
          <w:color w:val="0E101A"/>
        </w:rPr>
        <w:t>Conclusion</w:t>
      </w:r>
    </w:p>
    <w:p w:rsidR="00A16FA5" w:rsidRDefault="00A16FA5" w:rsidP="00A16FA5">
      <w:pPr>
        <w:pStyle w:val="NormalWeb"/>
        <w:spacing w:before="0" w:beforeAutospacing="0" w:after="0" w:afterAutospacing="0" w:line="480" w:lineRule="auto"/>
        <w:rPr>
          <w:color w:val="0E101A"/>
        </w:rPr>
      </w:pPr>
      <w:r>
        <w:rPr>
          <w:rStyle w:val="Strong"/>
          <w:color w:val="0E101A"/>
        </w:rPr>
        <w:t>           </w:t>
      </w:r>
      <w:r>
        <w:rPr>
          <w:color w:val="0E101A"/>
        </w:rPr>
        <w:t xml:space="preserve">Crime in modern communities cannot be eliminated in entirety. This is because criminals usually morph and come back. However, a law enforcement agency with an attrition-proof and solid system of business intelligence may be effective in mitigating crime while enhancing community trust and officer safety. The development of a sustainable, actionable, and solid strategic plan, value statement, vision, and mission statements that utilize the right technology and intelligence-led processes may result in inequitable and objective change in rates of crime. Overcoming the conventionally-driven intelligence and information needs to be implemented in </w:t>
      </w:r>
      <w:r>
        <w:rPr>
          <w:color w:val="0E101A"/>
        </w:rPr>
        <w:lastRenderedPageBreak/>
        <w:t>order to engage in sense-making processes that may lower crime and address other social problems through policing. Generally, there equitable policing is paramount in the 21st century where all people are treated equally based on individual crimes regardless of their race, gender, religion, and occupation among other demographics. </w:t>
      </w:r>
    </w:p>
    <w:p w:rsidR="00A16FA5" w:rsidRDefault="00A16FA5" w:rsidP="00A16FA5">
      <w:pPr>
        <w:pStyle w:val="NormalWeb"/>
        <w:spacing w:before="0" w:beforeAutospacing="0" w:after="0" w:afterAutospacing="0" w:line="480" w:lineRule="auto"/>
        <w:rPr>
          <w:color w:val="0E101A"/>
        </w:rPr>
      </w:pPr>
    </w:p>
    <w:p w:rsidR="001631B8" w:rsidRDefault="001631B8" w:rsidP="00A16FA5">
      <w:pPr>
        <w:spacing w:after="0" w:line="480" w:lineRule="auto"/>
        <w:rPr>
          <w:rFonts w:ascii="Times New Roman" w:hAnsi="Times New Roman" w:cs="Times New Roman"/>
          <w:sz w:val="24"/>
          <w:szCs w:val="24"/>
          <w:shd w:val="clear" w:color="auto" w:fill="FFFFFF"/>
        </w:rPr>
      </w:pPr>
    </w:p>
    <w:p w:rsidR="001631B8" w:rsidRDefault="001631B8" w:rsidP="00A16FA5">
      <w:pPr>
        <w:spacing w:after="0" w:line="480" w:lineRule="auto"/>
        <w:rPr>
          <w:rFonts w:ascii="Times New Roman" w:hAnsi="Times New Roman" w:cs="Times New Roman"/>
          <w:sz w:val="24"/>
          <w:szCs w:val="24"/>
          <w:shd w:val="clear" w:color="auto" w:fill="FFFFFF"/>
        </w:rPr>
      </w:pPr>
    </w:p>
    <w:p w:rsidR="001631B8" w:rsidRDefault="001631B8" w:rsidP="00A16FA5">
      <w:pPr>
        <w:spacing w:after="0" w:line="480" w:lineRule="auto"/>
        <w:rPr>
          <w:rFonts w:ascii="Times New Roman" w:hAnsi="Times New Roman" w:cs="Times New Roman"/>
          <w:sz w:val="24"/>
          <w:szCs w:val="24"/>
          <w:shd w:val="clear" w:color="auto" w:fill="FFFFFF"/>
        </w:rPr>
      </w:pPr>
    </w:p>
    <w:p w:rsidR="001631B8" w:rsidRDefault="001631B8" w:rsidP="00A16FA5">
      <w:pPr>
        <w:spacing w:after="0" w:line="480" w:lineRule="auto"/>
        <w:rPr>
          <w:rFonts w:ascii="Times New Roman" w:hAnsi="Times New Roman" w:cs="Times New Roman"/>
          <w:sz w:val="24"/>
          <w:szCs w:val="24"/>
          <w:shd w:val="clear" w:color="auto" w:fill="FFFFFF"/>
        </w:rPr>
      </w:pPr>
    </w:p>
    <w:p w:rsidR="001631B8" w:rsidRDefault="001631B8" w:rsidP="00A16FA5">
      <w:pPr>
        <w:spacing w:after="0" w:line="480" w:lineRule="auto"/>
        <w:rPr>
          <w:rFonts w:ascii="Times New Roman" w:hAnsi="Times New Roman" w:cs="Times New Roman"/>
          <w:sz w:val="24"/>
          <w:szCs w:val="24"/>
          <w:shd w:val="clear" w:color="auto" w:fill="FFFFFF"/>
        </w:rPr>
      </w:pPr>
    </w:p>
    <w:p w:rsidR="001631B8" w:rsidRDefault="001631B8" w:rsidP="00A16FA5">
      <w:pPr>
        <w:spacing w:after="0" w:line="480" w:lineRule="auto"/>
        <w:rPr>
          <w:rFonts w:ascii="Times New Roman" w:hAnsi="Times New Roman" w:cs="Times New Roman"/>
          <w:sz w:val="24"/>
          <w:szCs w:val="24"/>
          <w:shd w:val="clear" w:color="auto" w:fill="FFFFFF"/>
        </w:rPr>
      </w:pPr>
    </w:p>
    <w:p w:rsidR="001631B8" w:rsidRDefault="001631B8" w:rsidP="00A16FA5">
      <w:pPr>
        <w:spacing w:after="0" w:line="480" w:lineRule="auto"/>
        <w:rPr>
          <w:rFonts w:ascii="Times New Roman" w:hAnsi="Times New Roman" w:cs="Times New Roman"/>
          <w:sz w:val="24"/>
          <w:szCs w:val="24"/>
          <w:shd w:val="clear" w:color="auto" w:fill="FFFFFF"/>
        </w:rPr>
      </w:pPr>
    </w:p>
    <w:p w:rsidR="001631B8" w:rsidRDefault="001631B8" w:rsidP="00A16FA5">
      <w:pPr>
        <w:spacing w:after="0" w:line="480" w:lineRule="auto"/>
        <w:rPr>
          <w:rFonts w:ascii="Times New Roman" w:hAnsi="Times New Roman" w:cs="Times New Roman"/>
          <w:sz w:val="24"/>
          <w:szCs w:val="24"/>
          <w:shd w:val="clear" w:color="auto" w:fill="FFFFFF"/>
        </w:rPr>
      </w:pPr>
    </w:p>
    <w:p w:rsidR="001631B8" w:rsidRDefault="001631B8" w:rsidP="00A16FA5">
      <w:pPr>
        <w:spacing w:after="0" w:line="480" w:lineRule="auto"/>
        <w:rPr>
          <w:rFonts w:ascii="Times New Roman" w:hAnsi="Times New Roman" w:cs="Times New Roman"/>
          <w:sz w:val="24"/>
          <w:szCs w:val="24"/>
          <w:shd w:val="clear" w:color="auto" w:fill="FFFFFF"/>
        </w:rPr>
      </w:pPr>
    </w:p>
    <w:p w:rsidR="001631B8" w:rsidRDefault="001631B8" w:rsidP="00A16FA5">
      <w:pPr>
        <w:spacing w:after="0" w:line="480" w:lineRule="auto"/>
        <w:rPr>
          <w:rFonts w:ascii="Times New Roman" w:hAnsi="Times New Roman" w:cs="Times New Roman"/>
          <w:sz w:val="24"/>
          <w:szCs w:val="24"/>
          <w:shd w:val="clear" w:color="auto" w:fill="FFFFFF"/>
        </w:rPr>
      </w:pPr>
    </w:p>
    <w:p w:rsidR="001631B8" w:rsidRDefault="001631B8" w:rsidP="00A16FA5">
      <w:pPr>
        <w:spacing w:after="0" w:line="480" w:lineRule="auto"/>
        <w:rPr>
          <w:rFonts w:ascii="Times New Roman" w:hAnsi="Times New Roman" w:cs="Times New Roman"/>
          <w:sz w:val="24"/>
          <w:szCs w:val="24"/>
          <w:shd w:val="clear" w:color="auto" w:fill="FFFFFF"/>
        </w:rPr>
      </w:pPr>
    </w:p>
    <w:p w:rsidR="001631B8" w:rsidRDefault="001631B8" w:rsidP="00A16FA5">
      <w:pPr>
        <w:spacing w:after="0" w:line="480" w:lineRule="auto"/>
        <w:rPr>
          <w:rFonts w:ascii="Times New Roman" w:hAnsi="Times New Roman" w:cs="Times New Roman"/>
          <w:sz w:val="24"/>
          <w:szCs w:val="24"/>
          <w:shd w:val="clear" w:color="auto" w:fill="FFFFFF"/>
        </w:rPr>
      </w:pPr>
    </w:p>
    <w:p w:rsidR="001631B8" w:rsidRDefault="001631B8" w:rsidP="00A16FA5">
      <w:pPr>
        <w:spacing w:after="0" w:line="480" w:lineRule="auto"/>
        <w:rPr>
          <w:rFonts w:ascii="Times New Roman" w:hAnsi="Times New Roman" w:cs="Times New Roman"/>
          <w:sz w:val="24"/>
          <w:szCs w:val="24"/>
          <w:shd w:val="clear" w:color="auto" w:fill="FFFFFF"/>
        </w:rPr>
      </w:pPr>
    </w:p>
    <w:p w:rsidR="001631B8" w:rsidRDefault="001631B8" w:rsidP="00A16FA5">
      <w:pPr>
        <w:spacing w:after="0" w:line="480" w:lineRule="auto"/>
        <w:rPr>
          <w:rFonts w:ascii="Times New Roman" w:hAnsi="Times New Roman" w:cs="Times New Roman"/>
          <w:sz w:val="24"/>
          <w:szCs w:val="24"/>
          <w:shd w:val="clear" w:color="auto" w:fill="FFFFFF"/>
        </w:rPr>
      </w:pPr>
    </w:p>
    <w:p w:rsidR="001631B8" w:rsidRDefault="001631B8" w:rsidP="00A16FA5">
      <w:pPr>
        <w:spacing w:after="0" w:line="480" w:lineRule="auto"/>
        <w:rPr>
          <w:rFonts w:ascii="Times New Roman" w:hAnsi="Times New Roman" w:cs="Times New Roman"/>
          <w:sz w:val="24"/>
          <w:szCs w:val="24"/>
          <w:shd w:val="clear" w:color="auto" w:fill="FFFFFF"/>
        </w:rPr>
      </w:pPr>
    </w:p>
    <w:p w:rsidR="001631B8" w:rsidRDefault="001631B8" w:rsidP="00A16FA5">
      <w:pPr>
        <w:spacing w:after="0" w:line="480" w:lineRule="auto"/>
        <w:rPr>
          <w:rFonts w:ascii="Times New Roman" w:hAnsi="Times New Roman" w:cs="Times New Roman"/>
          <w:sz w:val="24"/>
          <w:szCs w:val="24"/>
          <w:shd w:val="clear" w:color="auto" w:fill="FFFFFF"/>
        </w:rPr>
      </w:pPr>
    </w:p>
    <w:p w:rsidR="001631B8" w:rsidRDefault="001631B8" w:rsidP="00A16FA5">
      <w:pPr>
        <w:spacing w:after="0" w:line="480" w:lineRule="auto"/>
        <w:rPr>
          <w:rFonts w:ascii="Times New Roman" w:hAnsi="Times New Roman" w:cs="Times New Roman"/>
          <w:sz w:val="24"/>
          <w:szCs w:val="24"/>
          <w:shd w:val="clear" w:color="auto" w:fill="FFFFFF"/>
        </w:rPr>
      </w:pPr>
    </w:p>
    <w:p w:rsidR="00A16FA5" w:rsidRDefault="00A16FA5" w:rsidP="00A16FA5">
      <w:pPr>
        <w:spacing w:after="0" w:line="480" w:lineRule="auto"/>
        <w:rPr>
          <w:rFonts w:ascii="Times New Roman" w:hAnsi="Times New Roman" w:cs="Times New Roman"/>
          <w:sz w:val="24"/>
          <w:szCs w:val="24"/>
          <w:shd w:val="clear" w:color="auto" w:fill="FFFFFF"/>
        </w:rPr>
      </w:pPr>
    </w:p>
    <w:p w:rsidR="00737735" w:rsidRDefault="00737735" w:rsidP="00A16FA5">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References </w:t>
      </w:r>
    </w:p>
    <w:p w:rsidR="00FA40F0" w:rsidRPr="00FA40F0" w:rsidRDefault="00FA40F0" w:rsidP="00A16FA5">
      <w:pPr>
        <w:spacing w:after="0" w:line="480" w:lineRule="auto"/>
        <w:ind w:left="720" w:hanging="720"/>
        <w:rPr>
          <w:rFonts w:ascii="Times New Roman" w:hAnsi="Times New Roman" w:cs="Times New Roman"/>
          <w:color w:val="222222"/>
          <w:sz w:val="24"/>
          <w:szCs w:val="24"/>
          <w:shd w:val="clear" w:color="auto" w:fill="FFFFFF"/>
        </w:rPr>
      </w:pPr>
      <w:r w:rsidRPr="00FA40F0">
        <w:rPr>
          <w:rFonts w:ascii="Times New Roman" w:hAnsi="Times New Roman" w:cs="Times New Roman"/>
          <w:color w:val="222222"/>
          <w:sz w:val="24"/>
          <w:szCs w:val="24"/>
          <w:shd w:val="clear" w:color="auto" w:fill="FFFFFF"/>
        </w:rPr>
        <w:t xml:space="preserve">American Civil Liberties Union (ACLU). (2009). The Persistence of Racial and Ethnic Profiling in the United States. </w:t>
      </w:r>
    </w:p>
    <w:p w:rsidR="00FA40F0" w:rsidRPr="00FA40F0" w:rsidRDefault="00FA40F0" w:rsidP="00A16FA5">
      <w:pPr>
        <w:spacing w:after="0" w:line="480" w:lineRule="auto"/>
        <w:ind w:left="720" w:hanging="720"/>
        <w:rPr>
          <w:rFonts w:ascii="Times New Roman" w:hAnsi="Times New Roman" w:cs="Times New Roman"/>
          <w:color w:val="222222"/>
          <w:sz w:val="24"/>
          <w:szCs w:val="24"/>
          <w:shd w:val="clear" w:color="auto" w:fill="FFFFFF"/>
        </w:rPr>
      </w:pPr>
      <w:r w:rsidRPr="00FA40F0">
        <w:rPr>
          <w:rFonts w:ascii="Times New Roman" w:hAnsi="Times New Roman" w:cs="Times New Roman"/>
          <w:color w:val="222222"/>
          <w:sz w:val="24"/>
          <w:szCs w:val="24"/>
          <w:shd w:val="clear" w:color="auto" w:fill="FFFFFF"/>
        </w:rPr>
        <w:t>Bayley, D. H. (2016). The complexities of 21st century policing. </w:t>
      </w:r>
      <w:r w:rsidRPr="00FA40F0">
        <w:rPr>
          <w:rFonts w:ascii="Times New Roman" w:hAnsi="Times New Roman" w:cs="Times New Roman"/>
          <w:i/>
          <w:iCs/>
          <w:color w:val="222222"/>
          <w:sz w:val="24"/>
          <w:szCs w:val="24"/>
          <w:shd w:val="clear" w:color="auto" w:fill="FFFFFF"/>
        </w:rPr>
        <w:t>Policing: A Journal of Policy and Practice</w:t>
      </w:r>
      <w:r w:rsidRPr="00FA40F0">
        <w:rPr>
          <w:rFonts w:ascii="Times New Roman" w:hAnsi="Times New Roman" w:cs="Times New Roman"/>
          <w:color w:val="222222"/>
          <w:sz w:val="24"/>
          <w:szCs w:val="24"/>
          <w:shd w:val="clear" w:color="auto" w:fill="FFFFFF"/>
        </w:rPr>
        <w:t>, </w:t>
      </w:r>
      <w:r w:rsidRPr="00FA40F0">
        <w:rPr>
          <w:rFonts w:ascii="Times New Roman" w:hAnsi="Times New Roman" w:cs="Times New Roman"/>
          <w:i/>
          <w:iCs/>
          <w:color w:val="222222"/>
          <w:sz w:val="24"/>
          <w:szCs w:val="24"/>
          <w:shd w:val="clear" w:color="auto" w:fill="FFFFFF"/>
        </w:rPr>
        <w:t>10</w:t>
      </w:r>
      <w:r w:rsidRPr="00FA40F0">
        <w:rPr>
          <w:rFonts w:ascii="Times New Roman" w:hAnsi="Times New Roman" w:cs="Times New Roman"/>
          <w:color w:val="222222"/>
          <w:sz w:val="24"/>
          <w:szCs w:val="24"/>
          <w:shd w:val="clear" w:color="auto" w:fill="FFFFFF"/>
        </w:rPr>
        <w:t xml:space="preserve">(3), 163-170. Retrieved from </w:t>
      </w:r>
      <w:bookmarkStart w:id="0" w:name="_GoBack"/>
      <w:r w:rsidRPr="00324556">
        <w:rPr>
          <w:rStyle w:val="Hyperlink"/>
          <w:rFonts w:ascii="Times New Roman" w:hAnsi="Times New Roman" w:cs="Times New Roman"/>
          <w:color w:val="000000" w:themeColor="text1"/>
          <w:sz w:val="24"/>
          <w:szCs w:val="24"/>
          <w:u w:val="none"/>
          <w:shd w:val="clear" w:color="auto" w:fill="FFFFFF"/>
        </w:rPr>
        <w:t>https://doi.org/10.1093/police/paw019</w:t>
      </w:r>
      <w:r w:rsidRPr="00324556">
        <w:rPr>
          <w:rFonts w:ascii="Times New Roman" w:hAnsi="Times New Roman" w:cs="Times New Roman"/>
          <w:color w:val="000000" w:themeColor="text1"/>
          <w:sz w:val="24"/>
          <w:szCs w:val="24"/>
          <w:shd w:val="clear" w:color="auto" w:fill="FFFFFF"/>
        </w:rPr>
        <w:t xml:space="preserve"> </w:t>
      </w:r>
      <w:bookmarkEnd w:id="0"/>
    </w:p>
    <w:p w:rsidR="00FA40F0" w:rsidRPr="00FA40F0" w:rsidRDefault="00FA40F0" w:rsidP="00A16FA5">
      <w:pPr>
        <w:spacing w:after="0" w:line="480" w:lineRule="auto"/>
        <w:ind w:left="720" w:hanging="720"/>
        <w:rPr>
          <w:rFonts w:ascii="Times New Roman" w:hAnsi="Times New Roman" w:cs="Times New Roman"/>
          <w:sz w:val="24"/>
          <w:szCs w:val="24"/>
        </w:rPr>
      </w:pPr>
      <w:r w:rsidRPr="00FA40F0">
        <w:rPr>
          <w:rFonts w:ascii="Times New Roman" w:hAnsi="Times New Roman" w:cs="Times New Roman"/>
          <w:color w:val="222222"/>
          <w:sz w:val="24"/>
          <w:szCs w:val="24"/>
          <w:shd w:val="clear" w:color="auto" w:fill="FFFFFF"/>
        </w:rPr>
        <w:t xml:space="preserve">Braga, A. A., &amp; </w:t>
      </w:r>
      <w:proofErr w:type="spellStart"/>
      <w:r w:rsidRPr="00FA40F0">
        <w:rPr>
          <w:rFonts w:ascii="Times New Roman" w:hAnsi="Times New Roman" w:cs="Times New Roman"/>
          <w:color w:val="222222"/>
          <w:sz w:val="24"/>
          <w:szCs w:val="24"/>
          <w:shd w:val="clear" w:color="auto" w:fill="FFFFFF"/>
        </w:rPr>
        <w:t>Dusseault</w:t>
      </w:r>
      <w:proofErr w:type="spellEnd"/>
      <w:r w:rsidRPr="00FA40F0">
        <w:rPr>
          <w:rFonts w:ascii="Times New Roman" w:hAnsi="Times New Roman" w:cs="Times New Roman"/>
          <w:color w:val="222222"/>
          <w:sz w:val="24"/>
          <w:szCs w:val="24"/>
          <w:shd w:val="clear" w:color="auto" w:fill="FFFFFF"/>
        </w:rPr>
        <w:t xml:space="preserve">, D. (2017). Can Police Improve Homicide Clearance </w:t>
      </w:r>
      <w:r w:rsidR="009B5CDA" w:rsidRPr="00FA40F0">
        <w:rPr>
          <w:rFonts w:ascii="Times New Roman" w:hAnsi="Times New Roman" w:cs="Times New Roman"/>
          <w:color w:val="222222"/>
          <w:sz w:val="24"/>
          <w:szCs w:val="24"/>
          <w:shd w:val="clear" w:color="auto" w:fill="FFFFFF"/>
        </w:rPr>
        <w:t>Rates?</w:t>
      </w:r>
      <w:r w:rsidRPr="00FA40F0">
        <w:rPr>
          <w:rFonts w:ascii="Times New Roman" w:hAnsi="Times New Roman" w:cs="Times New Roman"/>
          <w:color w:val="222222"/>
          <w:sz w:val="24"/>
          <w:szCs w:val="24"/>
          <w:shd w:val="clear" w:color="auto" w:fill="FFFFFF"/>
        </w:rPr>
        <w:t xml:space="preserve"> Retrieved from </w:t>
      </w:r>
      <w:r w:rsidRPr="00324556">
        <w:rPr>
          <w:rStyle w:val="Hyperlink"/>
          <w:rFonts w:ascii="Times New Roman" w:hAnsi="Times New Roman" w:cs="Times New Roman"/>
          <w:color w:val="000000" w:themeColor="text1"/>
          <w:sz w:val="24"/>
          <w:szCs w:val="24"/>
          <w:u w:val="none"/>
        </w:rPr>
        <w:t>https://pdfs.semanticscholar.org/7742/3c4d85ad5879256b9e1129f4fd1f15c7ca6f.pdf</w:t>
      </w:r>
      <w:r w:rsidRPr="00324556">
        <w:rPr>
          <w:rFonts w:ascii="Times New Roman" w:hAnsi="Times New Roman" w:cs="Times New Roman"/>
          <w:color w:val="000000" w:themeColor="text1"/>
          <w:sz w:val="24"/>
          <w:szCs w:val="24"/>
        </w:rPr>
        <w:t xml:space="preserve"> </w:t>
      </w:r>
    </w:p>
    <w:p w:rsidR="00FA40F0" w:rsidRPr="00FA40F0" w:rsidRDefault="00FA40F0" w:rsidP="00A16FA5">
      <w:pPr>
        <w:spacing w:after="0" w:line="480" w:lineRule="auto"/>
        <w:ind w:left="720" w:hanging="720"/>
        <w:rPr>
          <w:rFonts w:ascii="Times New Roman" w:hAnsi="Times New Roman" w:cs="Times New Roman"/>
          <w:color w:val="222222"/>
          <w:sz w:val="24"/>
          <w:szCs w:val="24"/>
          <w:shd w:val="clear" w:color="auto" w:fill="FFFFFF"/>
        </w:rPr>
      </w:pPr>
      <w:r w:rsidRPr="00FA40F0">
        <w:rPr>
          <w:rFonts w:ascii="Times New Roman" w:hAnsi="Times New Roman" w:cs="Times New Roman"/>
          <w:color w:val="222222"/>
          <w:sz w:val="24"/>
          <w:szCs w:val="24"/>
          <w:shd w:val="clear" w:color="auto" w:fill="FFFFFF"/>
        </w:rPr>
        <w:t xml:space="preserve">Haddad, A., </w:t>
      </w:r>
      <w:proofErr w:type="spellStart"/>
      <w:r w:rsidRPr="00FA40F0">
        <w:rPr>
          <w:rFonts w:ascii="Times New Roman" w:hAnsi="Times New Roman" w:cs="Times New Roman"/>
          <w:color w:val="222222"/>
          <w:sz w:val="24"/>
          <w:szCs w:val="24"/>
          <w:shd w:val="clear" w:color="auto" w:fill="FFFFFF"/>
        </w:rPr>
        <w:t>Giglio</w:t>
      </w:r>
      <w:proofErr w:type="spellEnd"/>
      <w:r w:rsidRPr="00FA40F0">
        <w:rPr>
          <w:rFonts w:ascii="Times New Roman" w:hAnsi="Times New Roman" w:cs="Times New Roman"/>
          <w:color w:val="222222"/>
          <w:sz w:val="24"/>
          <w:szCs w:val="24"/>
          <w:shd w:val="clear" w:color="auto" w:fill="FFFFFF"/>
        </w:rPr>
        <w:t xml:space="preserve">, K., Keller, K. M., &amp; Lim, N. (2012). Increasing Organizational Diversity in 21st-Century Policing: Lessons from the US Military. Retrieved from </w:t>
      </w:r>
      <w:r w:rsidRPr="00324556">
        <w:rPr>
          <w:rStyle w:val="Hyperlink"/>
          <w:rFonts w:ascii="Times New Roman" w:hAnsi="Times New Roman" w:cs="Times New Roman"/>
          <w:color w:val="000000" w:themeColor="text1"/>
          <w:sz w:val="24"/>
          <w:szCs w:val="24"/>
          <w:u w:val="none"/>
          <w:shd w:val="clear" w:color="auto" w:fill="FFFFFF"/>
        </w:rPr>
        <w:t>https://doi.org/10.7249/OP385</w:t>
      </w:r>
      <w:r w:rsidRPr="00324556">
        <w:rPr>
          <w:rFonts w:ascii="Times New Roman" w:hAnsi="Times New Roman" w:cs="Times New Roman"/>
          <w:color w:val="000000" w:themeColor="text1"/>
          <w:sz w:val="24"/>
          <w:szCs w:val="24"/>
          <w:shd w:val="clear" w:color="auto" w:fill="FFFFFF"/>
        </w:rPr>
        <w:t xml:space="preserve"> </w:t>
      </w:r>
    </w:p>
    <w:p w:rsidR="00FA40F0" w:rsidRPr="00FA40F0" w:rsidRDefault="00FA40F0" w:rsidP="00A16FA5">
      <w:pPr>
        <w:spacing w:after="0" w:line="480" w:lineRule="auto"/>
        <w:ind w:left="720" w:hanging="720"/>
        <w:rPr>
          <w:rFonts w:ascii="Times New Roman" w:hAnsi="Times New Roman" w:cs="Times New Roman"/>
          <w:color w:val="0000FF"/>
          <w:sz w:val="24"/>
          <w:szCs w:val="24"/>
          <w:shd w:val="clear" w:color="auto" w:fill="FFFFFF"/>
        </w:rPr>
      </w:pPr>
      <w:proofErr w:type="spellStart"/>
      <w:r w:rsidRPr="00FA40F0">
        <w:rPr>
          <w:rFonts w:ascii="Times New Roman" w:hAnsi="Times New Roman" w:cs="Times New Roman"/>
          <w:color w:val="222222"/>
          <w:sz w:val="24"/>
          <w:szCs w:val="24"/>
          <w:shd w:val="clear" w:color="auto" w:fill="FFFFFF"/>
        </w:rPr>
        <w:t>Lum</w:t>
      </w:r>
      <w:proofErr w:type="spellEnd"/>
      <w:r w:rsidRPr="00FA40F0">
        <w:rPr>
          <w:rFonts w:ascii="Times New Roman" w:hAnsi="Times New Roman" w:cs="Times New Roman"/>
          <w:color w:val="222222"/>
          <w:sz w:val="24"/>
          <w:szCs w:val="24"/>
          <w:shd w:val="clear" w:color="auto" w:fill="FFFFFF"/>
        </w:rPr>
        <w:t xml:space="preserve">, C. M., Koper, C. S., Gill, C., </w:t>
      </w:r>
      <w:proofErr w:type="spellStart"/>
      <w:r w:rsidRPr="00FA40F0">
        <w:rPr>
          <w:rFonts w:ascii="Times New Roman" w:hAnsi="Times New Roman" w:cs="Times New Roman"/>
          <w:color w:val="222222"/>
          <w:sz w:val="24"/>
          <w:szCs w:val="24"/>
          <w:shd w:val="clear" w:color="auto" w:fill="FFFFFF"/>
        </w:rPr>
        <w:t>Hibdon</w:t>
      </w:r>
      <w:proofErr w:type="spellEnd"/>
      <w:r w:rsidRPr="00FA40F0">
        <w:rPr>
          <w:rFonts w:ascii="Times New Roman" w:hAnsi="Times New Roman" w:cs="Times New Roman"/>
          <w:color w:val="222222"/>
          <w:sz w:val="24"/>
          <w:szCs w:val="24"/>
          <w:shd w:val="clear" w:color="auto" w:fill="FFFFFF"/>
        </w:rPr>
        <w:t xml:space="preserve">, J., </w:t>
      </w:r>
      <w:proofErr w:type="spellStart"/>
      <w:r w:rsidRPr="00FA40F0">
        <w:rPr>
          <w:rFonts w:ascii="Times New Roman" w:hAnsi="Times New Roman" w:cs="Times New Roman"/>
          <w:color w:val="222222"/>
          <w:sz w:val="24"/>
          <w:szCs w:val="24"/>
          <w:shd w:val="clear" w:color="auto" w:fill="FFFFFF"/>
        </w:rPr>
        <w:t>Telep</w:t>
      </w:r>
      <w:proofErr w:type="spellEnd"/>
      <w:r w:rsidRPr="00FA40F0">
        <w:rPr>
          <w:rFonts w:ascii="Times New Roman" w:hAnsi="Times New Roman" w:cs="Times New Roman"/>
          <w:color w:val="222222"/>
          <w:sz w:val="24"/>
          <w:szCs w:val="24"/>
          <w:shd w:val="clear" w:color="auto" w:fill="FFFFFF"/>
        </w:rPr>
        <w:t>, C., &amp; Robinson, L. (2016). </w:t>
      </w:r>
      <w:r w:rsidRPr="00FA40F0">
        <w:rPr>
          <w:rFonts w:ascii="Times New Roman" w:hAnsi="Times New Roman" w:cs="Times New Roman"/>
          <w:i/>
          <w:iCs/>
          <w:color w:val="222222"/>
          <w:sz w:val="24"/>
          <w:szCs w:val="24"/>
          <w:shd w:val="clear" w:color="auto" w:fill="FFFFFF"/>
        </w:rPr>
        <w:t>An Evidence-assessment of the Recommendations of the President's Task Force on 21st Century Policing: Implementation and Research Priorities</w:t>
      </w:r>
      <w:r w:rsidRPr="00FA40F0">
        <w:rPr>
          <w:rFonts w:ascii="Times New Roman" w:hAnsi="Times New Roman" w:cs="Times New Roman"/>
          <w:color w:val="222222"/>
          <w:sz w:val="24"/>
          <w:szCs w:val="24"/>
          <w:shd w:val="clear" w:color="auto" w:fill="FFFFFF"/>
        </w:rPr>
        <w:t>. Alexandria, VA: International Association of Chiefs of Police. Retrieved from</w:t>
      </w:r>
      <w:r w:rsidRPr="00FA40F0">
        <w:rPr>
          <w:rFonts w:ascii="Times New Roman" w:hAnsi="Times New Roman" w:cs="Times New Roman"/>
          <w:sz w:val="24"/>
          <w:szCs w:val="24"/>
        </w:rPr>
        <w:t xml:space="preserve"> </w:t>
      </w:r>
      <w:r w:rsidRPr="00324556">
        <w:rPr>
          <w:rStyle w:val="Hyperlink"/>
          <w:rFonts w:ascii="Times New Roman" w:hAnsi="Times New Roman" w:cs="Times New Roman"/>
          <w:color w:val="000000" w:themeColor="text1"/>
          <w:sz w:val="24"/>
          <w:szCs w:val="24"/>
          <w:u w:val="none"/>
          <w:shd w:val="clear" w:color="auto" w:fill="FFFFFF"/>
        </w:rPr>
        <w:t>http://cebcp.org/wp-content/evidence-based-policing/IACP-GMU-Evidence-Assessment-Task-Force-FINAL.pdf</w:t>
      </w:r>
      <w:r w:rsidRPr="00324556">
        <w:rPr>
          <w:rFonts w:ascii="Times New Roman" w:hAnsi="Times New Roman" w:cs="Times New Roman"/>
          <w:color w:val="000000" w:themeColor="text1"/>
          <w:sz w:val="24"/>
          <w:szCs w:val="24"/>
          <w:shd w:val="clear" w:color="auto" w:fill="FFFFFF"/>
        </w:rPr>
        <w:t xml:space="preserve"> </w:t>
      </w:r>
    </w:p>
    <w:p w:rsidR="00FA40F0" w:rsidRPr="00FA40F0" w:rsidRDefault="00FA40F0" w:rsidP="00A16FA5">
      <w:pPr>
        <w:spacing w:after="0" w:line="480" w:lineRule="auto"/>
        <w:ind w:left="720" w:hanging="720"/>
        <w:rPr>
          <w:rFonts w:ascii="Times New Roman" w:hAnsi="Times New Roman" w:cs="Times New Roman"/>
          <w:color w:val="222222"/>
          <w:sz w:val="24"/>
          <w:szCs w:val="24"/>
          <w:shd w:val="clear" w:color="auto" w:fill="FFFFFF"/>
        </w:rPr>
      </w:pPr>
      <w:r w:rsidRPr="00FA40F0">
        <w:rPr>
          <w:rFonts w:ascii="Times New Roman" w:hAnsi="Times New Roman" w:cs="Times New Roman"/>
          <w:color w:val="222222"/>
          <w:sz w:val="24"/>
          <w:szCs w:val="24"/>
          <w:shd w:val="clear" w:color="auto" w:fill="FFFFFF"/>
        </w:rPr>
        <w:t xml:space="preserve">President’s Task Force on 21st Century Policing. (2015). Final report of the President’s task force on 21st century policing. </w:t>
      </w:r>
    </w:p>
    <w:p w:rsidR="00FA40F0" w:rsidRDefault="00FA40F0" w:rsidP="00A16FA5">
      <w:pPr>
        <w:spacing w:after="0" w:line="480" w:lineRule="auto"/>
        <w:ind w:left="720" w:hanging="720"/>
      </w:pPr>
      <w:proofErr w:type="spellStart"/>
      <w:r w:rsidRPr="00FA40F0">
        <w:rPr>
          <w:rFonts w:ascii="Times New Roman" w:hAnsi="Times New Roman" w:cs="Times New Roman"/>
          <w:color w:val="222222"/>
          <w:sz w:val="24"/>
          <w:szCs w:val="24"/>
          <w:shd w:val="clear" w:color="auto" w:fill="FFFFFF"/>
        </w:rPr>
        <w:t>Quattlebaum</w:t>
      </w:r>
      <w:proofErr w:type="spellEnd"/>
      <w:r w:rsidRPr="00FA40F0">
        <w:rPr>
          <w:rFonts w:ascii="Times New Roman" w:hAnsi="Times New Roman" w:cs="Times New Roman"/>
          <w:color w:val="222222"/>
          <w:sz w:val="24"/>
          <w:szCs w:val="24"/>
          <w:shd w:val="clear" w:color="auto" w:fill="FFFFFF"/>
        </w:rPr>
        <w:t xml:space="preserve">, M., </w:t>
      </w:r>
      <w:proofErr w:type="spellStart"/>
      <w:r w:rsidRPr="00FA40F0">
        <w:rPr>
          <w:rFonts w:ascii="Times New Roman" w:hAnsi="Times New Roman" w:cs="Times New Roman"/>
          <w:color w:val="222222"/>
          <w:sz w:val="24"/>
          <w:szCs w:val="24"/>
          <w:shd w:val="clear" w:color="auto" w:fill="FFFFFF"/>
        </w:rPr>
        <w:t>Meares</w:t>
      </w:r>
      <w:proofErr w:type="spellEnd"/>
      <w:r w:rsidRPr="00FA40F0">
        <w:rPr>
          <w:rFonts w:ascii="Times New Roman" w:hAnsi="Times New Roman" w:cs="Times New Roman"/>
          <w:color w:val="222222"/>
          <w:sz w:val="24"/>
          <w:szCs w:val="24"/>
          <w:shd w:val="clear" w:color="auto" w:fill="FFFFFF"/>
        </w:rPr>
        <w:t>, T., &amp; Tyler, T. (2018). Principles of procedurally just policing. </w:t>
      </w:r>
      <w:r w:rsidRPr="00FA40F0">
        <w:rPr>
          <w:rFonts w:ascii="Times New Roman" w:hAnsi="Times New Roman" w:cs="Times New Roman"/>
          <w:i/>
          <w:iCs/>
          <w:color w:val="222222"/>
          <w:sz w:val="24"/>
          <w:szCs w:val="24"/>
          <w:shd w:val="clear" w:color="auto" w:fill="FFFFFF"/>
        </w:rPr>
        <w:t>The Justice Collaborator at Yale Law School</w:t>
      </w:r>
      <w:r w:rsidRPr="00FA40F0">
        <w:rPr>
          <w:rFonts w:ascii="Times New Roman" w:hAnsi="Times New Roman" w:cs="Times New Roman"/>
          <w:color w:val="222222"/>
          <w:sz w:val="24"/>
          <w:szCs w:val="24"/>
          <w:shd w:val="clear" w:color="auto" w:fill="FFFFFF"/>
        </w:rPr>
        <w:t>, </w:t>
      </w:r>
      <w:r w:rsidRPr="00FA40F0">
        <w:rPr>
          <w:rFonts w:ascii="Times New Roman" w:hAnsi="Times New Roman" w:cs="Times New Roman"/>
          <w:i/>
          <w:iCs/>
          <w:color w:val="222222"/>
          <w:sz w:val="24"/>
          <w:szCs w:val="24"/>
          <w:shd w:val="clear" w:color="auto" w:fill="FFFFFF"/>
        </w:rPr>
        <w:t>85</w:t>
      </w:r>
      <w:r w:rsidRPr="00FA40F0">
        <w:rPr>
          <w:rFonts w:ascii="Times New Roman" w:hAnsi="Times New Roman" w:cs="Times New Roman"/>
          <w:color w:val="222222"/>
          <w:sz w:val="24"/>
          <w:szCs w:val="24"/>
          <w:shd w:val="clear" w:color="auto" w:fill="FFFFFF"/>
        </w:rPr>
        <w:t xml:space="preserve">. Retrieved from </w:t>
      </w:r>
      <w:r w:rsidRPr="00324556">
        <w:rPr>
          <w:rStyle w:val="Hyperlink"/>
          <w:rFonts w:ascii="Times New Roman" w:hAnsi="Times New Roman" w:cs="Times New Roman"/>
          <w:color w:val="000000" w:themeColor="text1"/>
          <w:sz w:val="24"/>
          <w:szCs w:val="24"/>
          <w:u w:val="none"/>
        </w:rPr>
        <w:t>https://law.yale.edu/sites/default/files/principles_of_procedurally_just_policing_report_11.18.19.pdf</w:t>
      </w:r>
      <w:r w:rsidRPr="00324556">
        <w:rPr>
          <w:color w:val="000000" w:themeColor="text1"/>
        </w:rPr>
        <w:t xml:space="preserve"> </w:t>
      </w:r>
    </w:p>
    <w:p w:rsidR="00FA40F0" w:rsidRPr="00FA40F0" w:rsidRDefault="00FA40F0" w:rsidP="00A16FA5">
      <w:pPr>
        <w:spacing w:after="0" w:line="480" w:lineRule="auto"/>
        <w:ind w:left="720" w:hanging="720"/>
        <w:rPr>
          <w:rFonts w:ascii="Times New Roman" w:hAnsi="Times New Roman" w:cs="Times New Roman"/>
          <w:color w:val="222222"/>
          <w:sz w:val="24"/>
          <w:szCs w:val="24"/>
          <w:shd w:val="clear" w:color="auto" w:fill="FFFFFF"/>
        </w:rPr>
      </w:pPr>
      <w:r w:rsidRPr="00FA40F0">
        <w:rPr>
          <w:rFonts w:ascii="Times New Roman" w:hAnsi="Times New Roman" w:cs="Times New Roman"/>
          <w:color w:val="222222"/>
          <w:sz w:val="24"/>
          <w:szCs w:val="24"/>
          <w:shd w:val="clear" w:color="auto" w:fill="FFFFFF"/>
        </w:rPr>
        <w:lastRenderedPageBreak/>
        <w:t xml:space="preserve">Roeder, O. K., </w:t>
      </w:r>
      <w:proofErr w:type="spellStart"/>
      <w:r w:rsidRPr="00FA40F0">
        <w:rPr>
          <w:rFonts w:ascii="Times New Roman" w:hAnsi="Times New Roman" w:cs="Times New Roman"/>
          <w:color w:val="222222"/>
          <w:sz w:val="24"/>
          <w:szCs w:val="24"/>
          <w:shd w:val="clear" w:color="auto" w:fill="FFFFFF"/>
        </w:rPr>
        <w:t>Eisen</w:t>
      </w:r>
      <w:proofErr w:type="spellEnd"/>
      <w:r w:rsidRPr="00FA40F0">
        <w:rPr>
          <w:rFonts w:ascii="Times New Roman" w:hAnsi="Times New Roman" w:cs="Times New Roman"/>
          <w:color w:val="222222"/>
          <w:sz w:val="24"/>
          <w:szCs w:val="24"/>
          <w:shd w:val="clear" w:color="auto" w:fill="FFFFFF"/>
        </w:rPr>
        <w:t xml:space="preserve">, L. B., Bowling, J., Stiglitz, J. E., &amp; </w:t>
      </w:r>
      <w:proofErr w:type="spellStart"/>
      <w:r w:rsidRPr="00FA40F0">
        <w:rPr>
          <w:rFonts w:ascii="Times New Roman" w:hAnsi="Times New Roman" w:cs="Times New Roman"/>
          <w:color w:val="222222"/>
          <w:sz w:val="24"/>
          <w:szCs w:val="24"/>
          <w:shd w:val="clear" w:color="auto" w:fill="FFFFFF"/>
        </w:rPr>
        <w:t>Chettiar</w:t>
      </w:r>
      <w:proofErr w:type="spellEnd"/>
      <w:r w:rsidRPr="00FA40F0">
        <w:rPr>
          <w:rFonts w:ascii="Times New Roman" w:hAnsi="Times New Roman" w:cs="Times New Roman"/>
          <w:color w:val="222222"/>
          <w:sz w:val="24"/>
          <w:szCs w:val="24"/>
          <w:shd w:val="clear" w:color="auto" w:fill="FFFFFF"/>
        </w:rPr>
        <w:t xml:space="preserve">, I. M. (2015). What caused the crime </w:t>
      </w:r>
      <w:r w:rsidR="009B5CDA" w:rsidRPr="00FA40F0">
        <w:rPr>
          <w:rFonts w:ascii="Times New Roman" w:hAnsi="Times New Roman" w:cs="Times New Roman"/>
          <w:color w:val="222222"/>
          <w:sz w:val="24"/>
          <w:szCs w:val="24"/>
          <w:shd w:val="clear" w:color="auto" w:fill="FFFFFF"/>
        </w:rPr>
        <w:t>decline?</w:t>
      </w:r>
      <w:r w:rsidRPr="00FA40F0">
        <w:rPr>
          <w:rFonts w:ascii="Times New Roman" w:hAnsi="Times New Roman" w:cs="Times New Roman"/>
          <w:color w:val="222222"/>
          <w:sz w:val="24"/>
          <w:szCs w:val="24"/>
          <w:shd w:val="clear" w:color="auto" w:fill="FFFFFF"/>
        </w:rPr>
        <w:t> </w:t>
      </w:r>
      <w:r w:rsidRPr="00FA40F0">
        <w:rPr>
          <w:rFonts w:ascii="Times New Roman" w:hAnsi="Times New Roman" w:cs="Times New Roman"/>
          <w:i/>
          <w:iCs/>
          <w:color w:val="222222"/>
          <w:sz w:val="24"/>
          <w:szCs w:val="24"/>
          <w:shd w:val="clear" w:color="auto" w:fill="FFFFFF"/>
        </w:rPr>
        <w:t>Columbia Business School Research Paper</w:t>
      </w:r>
      <w:r w:rsidRPr="00FA40F0">
        <w:rPr>
          <w:rFonts w:ascii="Times New Roman" w:hAnsi="Times New Roman" w:cs="Times New Roman"/>
          <w:color w:val="222222"/>
          <w:sz w:val="24"/>
          <w:szCs w:val="24"/>
          <w:shd w:val="clear" w:color="auto" w:fill="FFFFFF"/>
        </w:rPr>
        <w:t xml:space="preserve">, (15-28). </w:t>
      </w:r>
      <w:r w:rsidRPr="00FA40F0">
        <w:rPr>
          <w:rFonts w:ascii="Times New Roman" w:hAnsi="Times New Roman" w:cs="Times New Roman"/>
          <w:sz w:val="24"/>
          <w:szCs w:val="24"/>
        </w:rPr>
        <w:t xml:space="preserve"> </w:t>
      </w:r>
      <w:r w:rsidRPr="00FA40F0">
        <w:rPr>
          <w:rFonts w:ascii="Times New Roman" w:hAnsi="Times New Roman" w:cs="Times New Roman"/>
          <w:color w:val="222222"/>
          <w:sz w:val="24"/>
          <w:szCs w:val="24"/>
          <w:shd w:val="clear" w:color="auto" w:fill="FFFFFF"/>
        </w:rPr>
        <w:t xml:space="preserve">Retrieved from </w:t>
      </w:r>
      <w:r w:rsidRPr="00324556">
        <w:rPr>
          <w:rStyle w:val="Hyperlink"/>
          <w:rFonts w:ascii="Times New Roman" w:hAnsi="Times New Roman" w:cs="Times New Roman"/>
          <w:color w:val="000000" w:themeColor="text1"/>
          <w:sz w:val="24"/>
          <w:szCs w:val="24"/>
          <w:u w:val="none"/>
          <w:shd w:val="clear" w:color="auto" w:fill="FFFFFF"/>
        </w:rPr>
        <w:t>https://dx.doi.org/10.2139/ssrn.2566965</w:t>
      </w:r>
      <w:r w:rsidRPr="00324556">
        <w:rPr>
          <w:rFonts w:ascii="Times New Roman" w:hAnsi="Times New Roman" w:cs="Times New Roman"/>
          <w:color w:val="000000" w:themeColor="text1"/>
          <w:sz w:val="24"/>
          <w:szCs w:val="24"/>
          <w:shd w:val="clear" w:color="auto" w:fill="FFFFFF"/>
        </w:rPr>
        <w:t xml:space="preserve"> </w:t>
      </w:r>
    </w:p>
    <w:p w:rsidR="00CF6B77" w:rsidRPr="00FA40F0" w:rsidRDefault="00CF6B77" w:rsidP="00A16FA5">
      <w:pPr>
        <w:spacing w:after="0" w:line="480" w:lineRule="auto"/>
      </w:pPr>
      <w:r>
        <w:rPr>
          <w:rFonts w:ascii="Times New Roman" w:hAnsi="Times New Roman" w:cs="Times New Roman"/>
          <w:b/>
          <w:sz w:val="24"/>
          <w:szCs w:val="24"/>
          <w:shd w:val="clear" w:color="auto" w:fill="FFFFFF"/>
        </w:rPr>
        <w:tab/>
      </w:r>
    </w:p>
    <w:p w:rsidR="00DE5B78" w:rsidRPr="005C2089" w:rsidRDefault="00DE5B78" w:rsidP="00A16FA5">
      <w:pPr>
        <w:spacing w:after="0" w:line="480" w:lineRule="auto"/>
        <w:rPr>
          <w:rFonts w:ascii="Times New Roman" w:hAnsi="Times New Roman" w:cs="Times New Roman"/>
          <w:sz w:val="24"/>
          <w:szCs w:val="24"/>
          <w:shd w:val="clear" w:color="auto" w:fill="FFFFFF"/>
        </w:rPr>
      </w:pPr>
    </w:p>
    <w:p w:rsidR="008C6A86" w:rsidRPr="008D24B9" w:rsidRDefault="008C6A86" w:rsidP="00A16FA5">
      <w:pPr>
        <w:spacing w:after="0" w:line="480" w:lineRule="auto"/>
        <w:rPr>
          <w:rFonts w:ascii="Times New Roman" w:hAnsi="Times New Roman" w:cs="Times New Roman"/>
          <w:sz w:val="24"/>
          <w:szCs w:val="24"/>
        </w:rPr>
      </w:pPr>
    </w:p>
    <w:p w:rsidR="001169C0" w:rsidRDefault="001169C0" w:rsidP="00A16FA5">
      <w:pPr>
        <w:spacing w:after="0" w:line="480" w:lineRule="auto"/>
      </w:pPr>
    </w:p>
    <w:sectPr w:rsidR="001169C0" w:rsidSect="00597A0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7151" w:rsidRDefault="00D47151" w:rsidP="00597A0D">
      <w:pPr>
        <w:spacing w:after="0" w:line="240" w:lineRule="auto"/>
      </w:pPr>
      <w:r>
        <w:separator/>
      </w:r>
    </w:p>
  </w:endnote>
  <w:endnote w:type="continuationSeparator" w:id="0">
    <w:p w:rsidR="00D47151" w:rsidRDefault="00D47151" w:rsidP="00597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7151" w:rsidRDefault="00D47151" w:rsidP="00597A0D">
      <w:pPr>
        <w:spacing w:after="0" w:line="240" w:lineRule="auto"/>
      </w:pPr>
      <w:r>
        <w:separator/>
      </w:r>
    </w:p>
  </w:footnote>
  <w:footnote w:type="continuationSeparator" w:id="0">
    <w:p w:rsidR="00D47151" w:rsidRDefault="00D47151" w:rsidP="00597A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A0D" w:rsidRPr="00597A0D" w:rsidRDefault="00597A0D">
    <w:pPr>
      <w:pStyle w:val="Header"/>
      <w:jc w:val="right"/>
      <w:rPr>
        <w:rFonts w:ascii="Times New Roman" w:hAnsi="Times New Roman" w:cs="Times New Roman"/>
        <w:sz w:val="24"/>
      </w:rPr>
    </w:pPr>
    <w:r w:rsidRPr="00597A0D">
      <w:rPr>
        <w:rFonts w:ascii="Times New Roman" w:hAnsi="Times New Roman" w:cs="Times New Roman"/>
        <w:sz w:val="24"/>
      </w:rPr>
      <w:t>EQUITABLE 21</w:t>
    </w:r>
    <w:r w:rsidRPr="00597A0D">
      <w:rPr>
        <w:rFonts w:ascii="Times New Roman" w:hAnsi="Times New Roman" w:cs="Times New Roman"/>
        <w:sz w:val="24"/>
        <w:vertAlign w:val="superscript"/>
      </w:rPr>
      <w:t>ST</w:t>
    </w:r>
    <w:r w:rsidRPr="00597A0D">
      <w:rPr>
        <w:rFonts w:ascii="Times New Roman" w:hAnsi="Times New Roman" w:cs="Times New Roman"/>
        <w:sz w:val="24"/>
      </w:rPr>
      <w:t xml:space="preserve"> CENTURY POLICING</w:t>
    </w:r>
    <w:r w:rsidRPr="00597A0D">
      <w:rPr>
        <w:rFonts w:ascii="Times New Roman" w:hAnsi="Times New Roman" w:cs="Times New Roman"/>
        <w:sz w:val="24"/>
      </w:rPr>
      <w:tab/>
    </w:r>
    <w:r w:rsidRPr="00597A0D">
      <w:rPr>
        <w:rFonts w:ascii="Times New Roman" w:hAnsi="Times New Roman" w:cs="Times New Roman"/>
        <w:sz w:val="24"/>
      </w:rPr>
      <w:tab/>
    </w:r>
    <w:sdt>
      <w:sdtPr>
        <w:rPr>
          <w:rFonts w:ascii="Times New Roman" w:hAnsi="Times New Roman" w:cs="Times New Roman"/>
          <w:sz w:val="24"/>
        </w:rPr>
        <w:id w:val="-840616739"/>
        <w:docPartObj>
          <w:docPartGallery w:val="Page Numbers (Top of Page)"/>
          <w:docPartUnique/>
        </w:docPartObj>
      </w:sdtPr>
      <w:sdtEndPr>
        <w:rPr>
          <w:noProof/>
        </w:rPr>
      </w:sdtEndPr>
      <w:sdtContent>
        <w:r w:rsidRPr="00597A0D">
          <w:rPr>
            <w:rFonts w:ascii="Times New Roman" w:hAnsi="Times New Roman" w:cs="Times New Roman"/>
            <w:sz w:val="24"/>
          </w:rPr>
          <w:fldChar w:fldCharType="begin"/>
        </w:r>
        <w:r w:rsidRPr="00597A0D">
          <w:rPr>
            <w:rFonts w:ascii="Times New Roman" w:hAnsi="Times New Roman" w:cs="Times New Roman"/>
            <w:sz w:val="24"/>
          </w:rPr>
          <w:instrText xml:space="preserve"> PAGE   \* MERGEFORMAT </w:instrText>
        </w:r>
        <w:r w:rsidRPr="00597A0D">
          <w:rPr>
            <w:rFonts w:ascii="Times New Roman" w:hAnsi="Times New Roman" w:cs="Times New Roman"/>
            <w:sz w:val="24"/>
          </w:rPr>
          <w:fldChar w:fldCharType="separate"/>
        </w:r>
        <w:r w:rsidR="00324556">
          <w:rPr>
            <w:rFonts w:ascii="Times New Roman" w:hAnsi="Times New Roman" w:cs="Times New Roman"/>
            <w:noProof/>
            <w:sz w:val="24"/>
          </w:rPr>
          <w:t>11</w:t>
        </w:r>
        <w:r w:rsidRPr="00597A0D">
          <w:rPr>
            <w:rFonts w:ascii="Times New Roman" w:hAnsi="Times New Roman" w:cs="Times New Roman"/>
            <w:noProof/>
            <w:sz w:val="24"/>
          </w:rPr>
          <w:fldChar w:fldCharType="end"/>
        </w:r>
      </w:sdtContent>
    </w:sdt>
  </w:p>
  <w:p w:rsidR="00597A0D" w:rsidRDefault="00597A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A0D" w:rsidRPr="00597A0D" w:rsidRDefault="00324556">
    <w:pPr>
      <w:pStyle w:val="Header"/>
      <w:jc w:val="right"/>
      <w:rPr>
        <w:rFonts w:ascii="Times New Roman" w:hAnsi="Times New Roman" w:cs="Times New Roman"/>
        <w:sz w:val="24"/>
        <w:szCs w:val="24"/>
      </w:rPr>
    </w:pPr>
    <w:r>
      <w:rPr>
        <w:rFonts w:ascii="Times New Roman" w:hAnsi="Times New Roman" w:cs="Times New Roman"/>
        <w:sz w:val="24"/>
        <w:szCs w:val="24"/>
      </w:rPr>
      <w:t>Running h</w:t>
    </w:r>
    <w:r w:rsidR="00597A0D" w:rsidRPr="00597A0D">
      <w:rPr>
        <w:rFonts w:ascii="Times New Roman" w:hAnsi="Times New Roman" w:cs="Times New Roman"/>
        <w:sz w:val="24"/>
        <w:szCs w:val="24"/>
      </w:rPr>
      <w:t>ead: EQUITABLE 21</w:t>
    </w:r>
    <w:r w:rsidR="00597A0D" w:rsidRPr="00597A0D">
      <w:rPr>
        <w:rFonts w:ascii="Times New Roman" w:hAnsi="Times New Roman" w:cs="Times New Roman"/>
        <w:sz w:val="24"/>
        <w:szCs w:val="24"/>
        <w:vertAlign w:val="superscript"/>
      </w:rPr>
      <w:t>ST</w:t>
    </w:r>
    <w:r w:rsidR="00597A0D" w:rsidRPr="00597A0D">
      <w:rPr>
        <w:rFonts w:ascii="Times New Roman" w:hAnsi="Times New Roman" w:cs="Times New Roman"/>
        <w:sz w:val="24"/>
        <w:szCs w:val="24"/>
      </w:rPr>
      <w:t xml:space="preserve"> CENTURY POLICING</w:t>
    </w:r>
    <w:r w:rsidR="00597A0D" w:rsidRPr="00597A0D">
      <w:rPr>
        <w:rFonts w:ascii="Times New Roman" w:hAnsi="Times New Roman" w:cs="Times New Roman"/>
        <w:sz w:val="24"/>
        <w:szCs w:val="24"/>
      </w:rPr>
      <w:tab/>
      <w:t xml:space="preserve"> </w:t>
    </w:r>
    <w:sdt>
      <w:sdtPr>
        <w:rPr>
          <w:rFonts w:ascii="Times New Roman" w:hAnsi="Times New Roman" w:cs="Times New Roman"/>
          <w:sz w:val="24"/>
          <w:szCs w:val="24"/>
        </w:rPr>
        <w:id w:val="-1932427052"/>
        <w:docPartObj>
          <w:docPartGallery w:val="Page Numbers (Top of Page)"/>
          <w:docPartUnique/>
        </w:docPartObj>
      </w:sdtPr>
      <w:sdtEndPr>
        <w:rPr>
          <w:noProof/>
        </w:rPr>
      </w:sdtEndPr>
      <w:sdtContent>
        <w:r w:rsidR="00597A0D" w:rsidRPr="00597A0D">
          <w:rPr>
            <w:rFonts w:ascii="Times New Roman" w:hAnsi="Times New Roman" w:cs="Times New Roman"/>
            <w:sz w:val="24"/>
            <w:szCs w:val="24"/>
          </w:rPr>
          <w:fldChar w:fldCharType="begin"/>
        </w:r>
        <w:r w:rsidR="00597A0D" w:rsidRPr="00597A0D">
          <w:rPr>
            <w:rFonts w:ascii="Times New Roman" w:hAnsi="Times New Roman" w:cs="Times New Roman"/>
            <w:sz w:val="24"/>
            <w:szCs w:val="24"/>
          </w:rPr>
          <w:instrText xml:space="preserve"> PAGE   \* MERGEFORMAT </w:instrText>
        </w:r>
        <w:r w:rsidR="00597A0D" w:rsidRPr="00597A0D">
          <w:rPr>
            <w:rFonts w:ascii="Times New Roman" w:hAnsi="Times New Roman" w:cs="Times New Roman"/>
            <w:sz w:val="24"/>
            <w:szCs w:val="24"/>
          </w:rPr>
          <w:fldChar w:fldCharType="separate"/>
        </w:r>
        <w:r>
          <w:rPr>
            <w:rFonts w:ascii="Times New Roman" w:hAnsi="Times New Roman" w:cs="Times New Roman"/>
            <w:noProof/>
            <w:sz w:val="24"/>
            <w:szCs w:val="24"/>
          </w:rPr>
          <w:t>1</w:t>
        </w:r>
        <w:r w:rsidR="00597A0D" w:rsidRPr="00597A0D">
          <w:rPr>
            <w:rFonts w:ascii="Times New Roman" w:hAnsi="Times New Roman" w:cs="Times New Roman"/>
            <w:noProof/>
            <w:sz w:val="24"/>
            <w:szCs w:val="24"/>
          </w:rPr>
          <w:fldChar w:fldCharType="end"/>
        </w:r>
      </w:sdtContent>
    </w:sdt>
  </w:p>
  <w:p w:rsidR="00597A0D" w:rsidRDefault="00597A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98A"/>
    <w:rsid w:val="0000189C"/>
    <w:rsid w:val="000204CE"/>
    <w:rsid w:val="00023B47"/>
    <w:rsid w:val="00024FFD"/>
    <w:rsid w:val="000313B1"/>
    <w:rsid w:val="000326B4"/>
    <w:rsid w:val="00032CE0"/>
    <w:rsid w:val="000348E9"/>
    <w:rsid w:val="000415C8"/>
    <w:rsid w:val="000422CE"/>
    <w:rsid w:val="00052C61"/>
    <w:rsid w:val="000576F5"/>
    <w:rsid w:val="00057742"/>
    <w:rsid w:val="00061CBA"/>
    <w:rsid w:val="00065549"/>
    <w:rsid w:val="000729D7"/>
    <w:rsid w:val="00074242"/>
    <w:rsid w:val="0007458C"/>
    <w:rsid w:val="000746E2"/>
    <w:rsid w:val="00075D56"/>
    <w:rsid w:val="00084FE6"/>
    <w:rsid w:val="0009142B"/>
    <w:rsid w:val="00091891"/>
    <w:rsid w:val="00093B7C"/>
    <w:rsid w:val="00095603"/>
    <w:rsid w:val="000A4F97"/>
    <w:rsid w:val="000A70CE"/>
    <w:rsid w:val="000B4223"/>
    <w:rsid w:val="000B79C1"/>
    <w:rsid w:val="000C2D17"/>
    <w:rsid w:val="000C681A"/>
    <w:rsid w:val="000D1AC7"/>
    <w:rsid w:val="000D1DE6"/>
    <w:rsid w:val="000D54C9"/>
    <w:rsid w:val="000D5D62"/>
    <w:rsid w:val="000E4D10"/>
    <w:rsid w:val="000F2091"/>
    <w:rsid w:val="000F499D"/>
    <w:rsid w:val="000F6344"/>
    <w:rsid w:val="00100D5A"/>
    <w:rsid w:val="00101076"/>
    <w:rsid w:val="00101596"/>
    <w:rsid w:val="0010731B"/>
    <w:rsid w:val="0011083D"/>
    <w:rsid w:val="001169C0"/>
    <w:rsid w:val="001230DB"/>
    <w:rsid w:val="00127779"/>
    <w:rsid w:val="00133047"/>
    <w:rsid w:val="00140187"/>
    <w:rsid w:val="001408D6"/>
    <w:rsid w:val="00152324"/>
    <w:rsid w:val="00153E04"/>
    <w:rsid w:val="0016076A"/>
    <w:rsid w:val="001631B8"/>
    <w:rsid w:val="00174345"/>
    <w:rsid w:val="001749EF"/>
    <w:rsid w:val="00175ABB"/>
    <w:rsid w:val="00185030"/>
    <w:rsid w:val="001948BF"/>
    <w:rsid w:val="00195D9E"/>
    <w:rsid w:val="001B2CC5"/>
    <w:rsid w:val="001B56B9"/>
    <w:rsid w:val="001B7DDD"/>
    <w:rsid w:val="001C23AB"/>
    <w:rsid w:val="001C2DE3"/>
    <w:rsid w:val="001D0243"/>
    <w:rsid w:val="001D506A"/>
    <w:rsid w:val="001E1B38"/>
    <w:rsid w:val="001E288B"/>
    <w:rsid w:val="001E2B0C"/>
    <w:rsid w:val="001E3339"/>
    <w:rsid w:val="001E709E"/>
    <w:rsid w:val="001F0049"/>
    <w:rsid w:val="001F13AD"/>
    <w:rsid w:val="001F36CB"/>
    <w:rsid w:val="001F3B0B"/>
    <w:rsid w:val="001F3FBC"/>
    <w:rsid w:val="001F4EDC"/>
    <w:rsid w:val="001F62E6"/>
    <w:rsid w:val="0020022E"/>
    <w:rsid w:val="00200864"/>
    <w:rsid w:val="00202BF2"/>
    <w:rsid w:val="0020329E"/>
    <w:rsid w:val="00216033"/>
    <w:rsid w:val="0022070A"/>
    <w:rsid w:val="00220A59"/>
    <w:rsid w:val="002254D7"/>
    <w:rsid w:val="0022707A"/>
    <w:rsid w:val="002279A8"/>
    <w:rsid w:val="0023129A"/>
    <w:rsid w:val="0023161C"/>
    <w:rsid w:val="00243147"/>
    <w:rsid w:val="00245EAA"/>
    <w:rsid w:val="00245EBD"/>
    <w:rsid w:val="00250467"/>
    <w:rsid w:val="002639EE"/>
    <w:rsid w:val="00263A55"/>
    <w:rsid w:val="00267630"/>
    <w:rsid w:val="00270492"/>
    <w:rsid w:val="00270E8B"/>
    <w:rsid w:val="00281836"/>
    <w:rsid w:val="00284205"/>
    <w:rsid w:val="00291F02"/>
    <w:rsid w:val="00292154"/>
    <w:rsid w:val="00293F75"/>
    <w:rsid w:val="00295694"/>
    <w:rsid w:val="002A68BA"/>
    <w:rsid w:val="002B0081"/>
    <w:rsid w:val="002C04F6"/>
    <w:rsid w:val="002C0A84"/>
    <w:rsid w:val="002C3ACE"/>
    <w:rsid w:val="002C49CD"/>
    <w:rsid w:val="002D1C21"/>
    <w:rsid w:val="002D3819"/>
    <w:rsid w:val="002D49C7"/>
    <w:rsid w:val="002D5621"/>
    <w:rsid w:val="002D6C3F"/>
    <w:rsid w:val="002E4618"/>
    <w:rsid w:val="002F0530"/>
    <w:rsid w:val="002F7156"/>
    <w:rsid w:val="003000EA"/>
    <w:rsid w:val="003047DE"/>
    <w:rsid w:val="00311945"/>
    <w:rsid w:val="00314E11"/>
    <w:rsid w:val="00315F6F"/>
    <w:rsid w:val="00316DB2"/>
    <w:rsid w:val="00323557"/>
    <w:rsid w:val="0032432F"/>
    <w:rsid w:val="00324556"/>
    <w:rsid w:val="0032514F"/>
    <w:rsid w:val="00333E29"/>
    <w:rsid w:val="00335212"/>
    <w:rsid w:val="003373F2"/>
    <w:rsid w:val="00337A02"/>
    <w:rsid w:val="0034599F"/>
    <w:rsid w:val="00346BA1"/>
    <w:rsid w:val="00355E02"/>
    <w:rsid w:val="0036053E"/>
    <w:rsid w:val="00360724"/>
    <w:rsid w:val="0036556E"/>
    <w:rsid w:val="00367CCD"/>
    <w:rsid w:val="00371B12"/>
    <w:rsid w:val="0037452C"/>
    <w:rsid w:val="003824E1"/>
    <w:rsid w:val="003826E5"/>
    <w:rsid w:val="00382D08"/>
    <w:rsid w:val="00383A7E"/>
    <w:rsid w:val="003A74D2"/>
    <w:rsid w:val="003B7141"/>
    <w:rsid w:val="003B76DA"/>
    <w:rsid w:val="003B7A73"/>
    <w:rsid w:val="003C424C"/>
    <w:rsid w:val="003D28D1"/>
    <w:rsid w:val="003D7778"/>
    <w:rsid w:val="003E6268"/>
    <w:rsid w:val="003F0442"/>
    <w:rsid w:val="003F2187"/>
    <w:rsid w:val="003F49DB"/>
    <w:rsid w:val="003F6138"/>
    <w:rsid w:val="003F6F85"/>
    <w:rsid w:val="00401B7F"/>
    <w:rsid w:val="00402071"/>
    <w:rsid w:val="00404DAF"/>
    <w:rsid w:val="00412007"/>
    <w:rsid w:val="00423446"/>
    <w:rsid w:val="004234D7"/>
    <w:rsid w:val="00425A4D"/>
    <w:rsid w:val="00435FA4"/>
    <w:rsid w:val="0043678C"/>
    <w:rsid w:val="00436BF6"/>
    <w:rsid w:val="00442CCA"/>
    <w:rsid w:val="00443FC4"/>
    <w:rsid w:val="0044407C"/>
    <w:rsid w:val="004448B6"/>
    <w:rsid w:val="00447E4A"/>
    <w:rsid w:val="00452182"/>
    <w:rsid w:val="00457BE1"/>
    <w:rsid w:val="00460BC9"/>
    <w:rsid w:val="004624E3"/>
    <w:rsid w:val="00463218"/>
    <w:rsid w:val="00463CA5"/>
    <w:rsid w:val="00464002"/>
    <w:rsid w:val="004648D8"/>
    <w:rsid w:val="0047423D"/>
    <w:rsid w:val="004756EA"/>
    <w:rsid w:val="00476C57"/>
    <w:rsid w:val="0047716D"/>
    <w:rsid w:val="0047727A"/>
    <w:rsid w:val="00480CFF"/>
    <w:rsid w:val="00481FAC"/>
    <w:rsid w:val="00485390"/>
    <w:rsid w:val="00486FCB"/>
    <w:rsid w:val="00490CCE"/>
    <w:rsid w:val="0049375E"/>
    <w:rsid w:val="00497C91"/>
    <w:rsid w:val="004A2FAB"/>
    <w:rsid w:val="004A65CC"/>
    <w:rsid w:val="004B29CA"/>
    <w:rsid w:val="004B41D7"/>
    <w:rsid w:val="004C1237"/>
    <w:rsid w:val="004C5A1B"/>
    <w:rsid w:val="004D1C19"/>
    <w:rsid w:val="004D2BB3"/>
    <w:rsid w:val="004D3714"/>
    <w:rsid w:val="004D5879"/>
    <w:rsid w:val="004E05EB"/>
    <w:rsid w:val="004E1619"/>
    <w:rsid w:val="004E3D40"/>
    <w:rsid w:val="004E5D16"/>
    <w:rsid w:val="004E6CF4"/>
    <w:rsid w:val="004F6DA7"/>
    <w:rsid w:val="004F70CC"/>
    <w:rsid w:val="00504FD9"/>
    <w:rsid w:val="005060B3"/>
    <w:rsid w:val="00506E2A"/>
    <w:rsid w:val="00511F93"/>
    <w:rsid w:val="005211DA"/>
    <w:rsid w:val="005236BE"/>
    <w:rsid w:val="00525608"/>
    <w:rsid w:val="00531024"/>
    <w:rsid w:val="00542813"/>
    <w:rsid w:val="00543F5A"/>
    <w:rsid w:val="00547D6E"/>
    <w:rsid w:val="005538D1"/>
    <w:rsid w:val="005577B3"/>
    <w:rsid w:val="00561C7A"/>
    <w:rsid w:val="005655EC"/>
    <w:rsid w:val="0056698A"/>
    <w:rsid w:val="00567EB8"/>
    <w:rsid w:val="00574809"/>
    <w:rsid w:val="005775F9"/>
    <w:rsid w:val="00587469"/>
    <w:rsid w:val="005875C7"/>
    <w:rsid w:val="00587F60"/>
    <w:rsid w:val="00590397"/>
    <w:rsid w:val="0059051A"/>
    <w:rsid w:val="00592A46"/>
    <w:rsid w:val="00597A0D"/>
    <w:rsid w:val="00597B9B"/>
    <w:rsid w:val="005A04E2"/>
    <w:rsid w:val="005A0E84"/>
    <w:rsid w:val="005A7009"/>
    <w:rsid w:val="005B01C5"/>
    <w:rsid w:val="005B2962"/>
    <w:rsid w:val="005B45B5"/>
    <w:rsid w:val="005C03B5"/>
    <w:rsid w:val="005C2089"/>
    <w:rsid w:val="005D1DF6"/>
    <w:rsid w:val="005D2259"/>
    <w:rsid w:val="005D3600"/>
    <w:rsid w:val="005D6AF5"/>
    <w:rsid w:val="005E08F3"/>
    <w:rsid w:val="005E68FA"/>
    <w:rsid w:val="005E6C7A"/>
    <w:rsid w:val="005F0310"/>
    <w:rsid w:val="005F0B66"/>
    <w:rsid w:val="00600836"/>
    <w:rsid w:val="00603B42"/>
    <w:rsid w:val="00614358"/>
    <w:rsid w:val="00631113"/>
    <w:rsid w:val="0063213E"/>
    <w:rsid w:val="00635D91"/>
    <w:rsid w:val="00635F16"/>
    <w:rsid w:val="00635F48"/>
    <w:rsid w:val="006377C6"/>
    <w:rsid w:val="00645194"/>
    <w:rsid w:val="006516E8"/>
    <w:rsid w:val="00651EA9"/>
    <w:rsid w:val="00653B4E"/>
    <w:rsid w:val="0065767A"/>
    <w:rsid w:val="00657ED6"/>
    <w:rsid w:val="00661FC5"/>
    <w:rsid w:val="006656B1"/>
    <w:rsid w:val="00667C47"/>
    <w:rsid w:val="00670C61"/>
    <w:rsid w:val="00674F8B"/>
    <w:rsid w:val="006751A2"/>
    <w:rsid w:val="00691D8A"/>
    <w:rsid w:val="00696201"/>
    <w:rsid w:val="006A0325"/>
    <w:rsid w:val="006A3B29"/>
    <w:rsid w:val="006A49A5"/>
    <w:rsid w:val="006B3401"/>
    <w:rsid w:val="006B4EBF"/>
    <w:rsid w:val="006B64F6"/>
    <w:rsid w:val="006C227D"/>
    <w:rsid w:val="006C6554"/>
    <w:rsid w:val="006C6577"/>
    <w:rsid w:val="006D0104"/>
    <w:rsid w:val="006D2BB7"/>
    <w:rsid w:val="006D7913"/>
    <w:rsid w:val="006E00E6"/>
    <w:rsid w:val="006E0C76"/>
    <w:rsid w:val="006E16BC"/>
    <w:rsid w:val="006E2AF7"/>
    <w:rsid w:val="006E54D1"/>
    <w:rsid w:val="006F1E5B"/>
    <w:rsid w:val="006F57CE"/>
    <w:rsid w:val="00701EBB"/>
    <w:rsid w:val="00703197"/>
    <w:rsid w:val="00710D3B"/>
    <w:rsid w:val="00716067"/>
    <w:rsid w:val="007225F9"/>
    <w:rsid w:val="00725C02"/>
    <w:rsid w:val="007322C6"/>
    <w:rsid w:val="0073231B"/>
    <w:rsid w:val="0073438F"/>
    <w:rsid w:val="00737735"/>
    <w:rsid w:val="00740616"/>
    <w:rsid w:val="00745478"/>
    <w:rsid w:val="00746089"/>
    <w:rsid w:val="00750E44"/>
    <w:rsid w:val="0075563B"/>
    <w:rsid w:val="00755C3E"/>
    <w:rsid w:val="00763E4C"/>
    <w:rsid w:val="007642FF"/>
    <w:rsid w:val="00764E56"/>
    <w:rsid w:val="00771D74"/>
    <w:rsid w:val="007947F0"/>
    <w:rsid w:val="007A0DC1"/>
    <w:rsid w:val="007A1E45"/>
    <w:rsid w:val="007A4C86"/>
    <w:rsid w:val="007B2361"/>
    <w:rsid w:val="007B63C1"/>
    <w:rsid w:val="007C5F42"/>
    <w:rsid w:val="007D16BF"/>
    <w:rsid w:val="007D41D0"/>
    <w:rsid w:val="007D4459"/>
    <w:rsid w:val="007D5401"/>
    <w:rsid w:val="007D5AE1"/>
    <w:rsid w:val="007E5080"/>
    <w:rsid w:val="007E6ABA"/>
    <w:rsid w:val="007F1C0E"/>
    <w:rsid w:val="007F1E72"/>
    <w:rsid w:val="007F2C74"/>
    <w:rsid w:val="007F33C5"/>
    <w:rsid w:val="00803841"/>
    <w:rsid w:val="00806F4D"/>
    <w:rsid w:val="008108B0"/>
    <w:rsid w:val="00810E56"/>
    <w:rsid w:val="008119A5"/>
    <w:rsid w:val="00812528"/>
    <w:rsid w:val="0081550A"/>
    <w:rsid w:val="0081623D"/>
    <w:rsid w:val="00832DBE"/>
    <w:rsid w:val="00835574"/>
    <w:rsid w:val="00835D1C"/>
    <w:rsid w:val="008369A8"/>
    <w:rsid w:val="00837876"/>
    <w:rsid w:val="00841196"/>
    <w:rsid w:val="00841E77"/>
    <w:rsid w:val="0084219F"/>
    <w:rsid w:val="00846213"/>
    <w:rsid w:val="00856730"/>
    <w:rsid w:val="00862E9B"/>
    <w:rsid w:val="008733FB"/>
    <w:rsid w:val="008771E8"/>
    <w:rsid w:val="00896BCF"/>
    <w:rsid w:val="008A211E"/>
    <w:rsid w:val="008B14C5"/>
    <w:rsid w:val="008B5337"/>
    <w:rsid w:val="008C1330"/>
    <w:rsid w:val="008C430C"/>
    <w:rsid w:val="008C5EA1"/>
    <w:rsid w:val="008C6A86"/>
    <w:rsid w:val="008D24B9"/>
    <w:rsid w:val="008D2A1A"/>
    <w:rsid w:val="008D2F8C"/>
    <w:rsid w:val="008D3E40"/>
    <w:rsid w:val="008E1811"/>
    <w:rsid w:val="008E2C56"/>
    <w:rsid w:val="008E4B46"/>
    <w:rsid w:val="008F7A1A"/>
    <w:rsid w:val="00904E62"/>
    <w:rsid w:val="00913E04"/>
    <w:rsid w:val="00921C46"/>
    <w:rsid w:val="00922713"/>
    <w:rsid w:val="00926F3C"/>
    <w:rsid w:val="00927B25"/>
    <w:rsid w:val="00932BE9"/>
    <w:rsid w:val="009336C5"/>
    <w:rsid w:val="00934445"/>
    <w:rsid w:val="00935895"/>
    <w:rsid w:val="00943F7D"/>
    <w:rsid w:val="009465AC"/>
    <w:rsid w:val="00960C8A"/>
    <w:rsid w:val="00962A5E"/>
    <w:rsid w:val="009659AC"/>
    <w:rsid w:val="0097064F"/>
    <w:rsid w:val="00972C91"/>
    <w:rsid w:val="00973090"/>
    <w:rsid w:val="0098466A"/>
    <w:rsid w:val="009871EE"/>
    <w:rsid w:val="00990A97"/>
    <w:rsid w:val="00997695"/>
    <w:rsid w:val="009A4CFC"/>
    <w:rsid w:val="009B5CDA"/>
    <w:rsid w:val="009B660E"/>
    <w:rsid w:val="009C00E7"/>
    <w:rsid w:val="009C4A38"/>
    <w:rsid w:val="009C5EA0"/>
    <w:rsid w:val="009C7BA4"/>
    <w:rsid w:val="009D39E9"/>
    <w:rsid w:val="009D4CF4"/>
    <w:rsid w:val="009D6016"/>
    <w:rsid w:val="009E261D"/>
    <w:rsid w:val="009E4FF3"/>
    <w:rsid w:val="009F1D29"/>
    <w:rsid w:val="009F5CB0"/>
    <w:rsid w:val="009F7380"/>
    <w:rsid w:val="009F7A47"/>
    <w:rsid w:val="00A03E1A"/>
    <w:rsid w:val="00A03ECF"/>
    <w:rsid w:val="00A1224C"/>
    <w:rsid w:val="00A12BC7"/>
    <w:rsid w:val="00A16FA5"/>
    <w:rsid w:val="00A20522"/>
    <w:rsid w:val="00A21426"/>
    <w:rsid w:val="00A21BCB"/>
    <w:rsid w:val="00A237C6"/>
    <w:rsid w:val="00A26AD0"/>
    <w:rsid w:val="00A34CC1"/>
    <w:rsid w:val="00A40E2B"/>
    <w:rsid w:val="00A4660A"/>
    <w:rsid w:val="00A46A57"/>
    <w:rsid w:val="00A5081B"/>
    <w:rsid w:val="00A5199B"/>
    <w:rsid w:val="00A5367A"/>
    <w:rsid w:val="00A55FEC"/>
    <w:rsid w:val="00A61B85"/>
    <w:rsid w:val="00A66DC0"/>
    <w:rsid w:val="00A70350"/>
    <w:rsid w:val="00A723CE"/>
    <w:rsid w:val="00A72C9F"/>
    <w:rsid w:val="00A739F3"/>
    <w:rsid w:val="00A85326"/>
    <w:rsid w:val="00A965EF"/>
    <w:rsid w:val="00AA0E18"/>
    <w:rsid w:val="00AA5289"/>
    <w:rsid w:val="00AA5BB5"/>
    <w:rsid w:val="00AA6EC8"/>
    <w:rsid w:val="00AB2045"/>
    <w:rsid w:val="00AB4E79"/>
    <w:rsid w:val="00AC3963"/>
    <w:rsid w:val="00AC3BE7"/>
    <w:rsid w:val="00AC410D"/>
    <w:rsid w:val="00AC5114"/>
    <w:rsid w:val="00AC5D7B"/>
    <w:rsid w:val="00AD6BC9"/>
    <w:rsid w:val="00AE0FB1"/>
    <w:rsid w:val="00AE2692"/>
    <w:rsid w:val="00AE3F71"/>
    <w:rsid w:val="00AF0B57"/>
    <w:rsid w:val="00AF38B9"/>
    <w:rsid w:val="00AF509B"/>
    <w:rsid w:val="00AF5EAF"/>
    <w:rsid w:val="00AF6487"/>
    <w:rsid w:val="00B03BD5"/>
    <w:rsid w:val="00B04ED8"/>
    <w:rsid w:val="00B05C20"/>
    <w:rsid w:val="00B0733E"/>
    <w:rsid w:val="00B13767"/>
    <w:rsid w:val="00B13E78"/>
    <w:rsid w:val="00B176BB"/>
    <w:rsid w:val="00B17954"/>
    <w:rsid w:val="00B17F1D"/>
    <w:rsid w:val="00B203C0"/>
    <w:rsid w:val="00B23685"/>
    <w:rsid w:val="00B25FA0"/>
    <w:rsid w:val="00B265A2"/>
    <w:rsid w:val="00B26C88"/>
    <w:rsid w:val="00B30AE2"/>
    <w:rsid w:val="00B318B7"/>
    <w:rsid w:val="00B31D2B"/>
    <w:rsid w:val="00B37DD4"/>
    <w:rsid w:val="00B42142"/>
    <w:rsid w:val="00B75848"/>
    <w:rsid w:val="00B8529E"/>
    <w:rsid w:val="00BA5D59"/>
    <w:rsid w:val="00BA5FDF"/>
    <w:rsid w:val="00BA6D25"/>
    <w:rsid w:val="00BA7B62"/>
    <w:rsid w:val="00BB0E7E"/>
    <w:rsid w:val="00BB16DE"/>
    <w:rsid w:val="00BC4776"/>
    <w:rsid w:val="00BE24ED"/>
    <w:rsid w:val="00BE68B1"/>
    <w:rsid w:val="00BE7A35"/>
    <w:rsid w:val="00BF021D"/>
    <w:rsid w:val="00BF1637"/>
    <w:rsid w:val="00BF5BA0"/>
    <w:rsid w:val="00C02430"/>
    <w:rsid w:val="00C02F89"/>
    <w:rsid w:val="00C176D2"/>
    <w:rsid w:val="00C31154"/>
    <w:rsid w:val="00C330B5"/>
    <w:rsid w:val="00C43CC1"/>
    <w:rsid w:val="00C4555C"/>
    <w:rsid w:val="00C51266"/>
    <w:rsid w:val="00C54586"/>
    <w:rsid w:val="00C54CF6"/>
    <w:rsid w:val="00C6464F"/>
    <w:rsid w:val="00C66520"/>
    <w:rsid w:val="00C66FF9"/>
    <w:rsid w:val="00C84BAE"/>
    <w:rsid w:val="00C87D44"/>
    <w:rsid w:val="00C87E73"/>
    <w:rsid w:val="00C93AE3"/>
    <w:rsid w:val="00C9429C"/>
    <w:rsid w:val="00C94484"/>
    <w:rsid w:val="00CB0E80"/>
    <w:rsid w:val="00CB5032"/>
    <w:rsid w:val="00CB5E94"/>
    <w:rsid w:val="00CC2DD0"/>
    <w:rsid w:val="00CC38BF"/>
    <w:rsid w:val="00CC553A"/>
    <w:rsid w:val="00CC67E0"/>
    <w:rsid w:val="00CC7704"/>
    <w:rsid w:val="00CD0080"/>
    <w:rsid w:val="00CD1179"/>
    <w:rsid w:val="00CD1D41"/>
    <w:rsid w:val="00CD4D46"/>
    <w:rsid w:val="00CD5C4E"/>
    <w:rsid w:val="00CE7891"/>
    <w:rsid w:val="00CF0C6A"/>
    <w:rsid w:val="00CF3999"/>
    <w:rsid w:val="00CF3ACD"/>
    <w:rsid w:val="00CF574D"/>
    <w:rsid w:val="00CF6B77"/>
    <w:rsid w:val="00D00EA6"/>
    <w:rsid w:val="00D130A4"/>
    <w:rsid w:val="00D13EF8"/>
    <w:rsid w:val="00D14C85"/>
    <w:rsid w:val="00D21C43"/>
    <w:rsid w:val="00D22DB5"/>
    <w:rsid w:val="00D251CF"/>
    <w:rsid w:val="00D26E58"/>
    <w:rsid w:val="00D301CD"/>
    <w:rsid w:val="00D3050F"/>
    <w:rsid w:val="00D30A4E"/>
    <w:rsid w:val="00D3222F"/>
    <w:rsid w:val="00D42AF2"/>
    <w:rsid w:val="00D4369F"/>
    <w:rsid w:val="00D47151"/>
    <w:rsid w:val="00D473CE"/>
    <w:rsid w:val="00D51D32"/>
    <w:rsid w:val="00D528A9"/>
    <w:rsid w:val="00D5575F"/>
    <w:rsid w:val="00D65784"/>
    <w:rsid w:val="00D70397"/>
    <w:rsid w:val="00D713AD"/>
    <w:rsid w:val="00D726E2"/>
    <w:rsid w:val="00D77F51"/>
    <w:rsid w:val="00D81BBE"/>
    <w:rsid w:val="00D82DBA"/>
    <w:rsid w:val="00D874ED"/>
    <w:rsid w:val="00D955D5"/>
    <w:rsid w:val="00D95EC1"/>
    <w:rsid w:val="00D977C4"/>
    <w:rsid w:val="00DA3277"/>
    <w:rsid w:val="00DB009A"/>
    <w:rsid w:val="00DB36D3"/>
    <w:rsid w:val="00DB482A"/>
    <w:rsid w:val="00DB4E83"/>
    <w:rsid w:val="00DB788B"/>
    <w:rsid w:val="00DB7DB5"/>
    <w:rsid w:val="00DC517D"/>
    <w:rsid w:val="00DD00D4"/>
    <w:rsid w:val="00DD0E48"/>
    <w:rsid w:val="00DE5B78"/>
    <w:rsid w:val="00DE61BD"/>
    <w:rsid w:val="00DE7787"/>
    <w:rsid w:val="00DE7976"/>
    <w:rsid w:val="00DF62D3"/>
    <w:rsid w:val="00DF7790"/>
    <w:rsid w:val="00DF7C57"/>
    <w:rsid w:val="00DF7FAD"/>
    <w:rsid w:val="00E02F43"/>
    <w:rsid w:val="00E07516"/>
    <w:rsid w:val="00E11007"/>
    <w:rsid w:val="00E12A7E"/>
    <w:rsid w:val="00E14913"/>
    <w:rsid w:val="00E1629B"/>
    <w:rsid w:val="00E1795C"/>
    <w:rsid w:val="00E20246"/>
    <w:rsid w:val="00E23397"/>
    <w:rsid w:val="00E24CD6"/>
    <w:rsid w:val="00E31E6E"/>
    <w:rsid w:val="00E338AC"/>
    <w:rsid w:val="00E36728"/>
    <w:rsid w:val="00E415F3"/>
    <w:rsid w:val="00E52F92"/>
    <w:rsid w:val="00E548AA"/>
    <w:rsid w:val="00E57127"/>
    <w:rsid w:val="00E57D34"/>
    <w:rsid w:val="00E57DEA"/>
    <w:rsid w:val="00E654CF"/>
    <w:rsid w:val="00E6696E"/>
    <w:rsid w:val="00E74811"/>
    <w:rsid w:val="00E749E2"/>
    <w:rsid w:val="00E86A59"/>
    <w:rsid w:val="00E9078A"/>
    <w:rsid w:val="00E936B9"/>
    <w:rsid w:val="00E93D90"/>
    <w:rsid w:val="00EA0D9B"/>
    <w:rsid w:val="00EA22D3"/>
    <w:rsid w:val="00EA7C29"/>
    <w:rsid w:val="00EB08F3"/>
    <w:rsid w:val="00EB191E"/>
    <w:rsid w:val="00EB1D8E"/>
    <w:rsid w:val="00EB3705"/>
    <w:rsid w:val="00EC55A3"/>
    <w:rsid w:val="00EC5C06"/>
    <w:rsid w:val="00EC6069"/>
    <w:rsid w:val="00ED02D5"/>
    <w:rsid w:val="00ED0F57"/>
    <w:rsid w:val="00ED38A1"/>
    <w:rsid w:val="00ED425E"/>
    <w:rsid w:val="00EE68E2"/>
    <w:rsid w:val="00EF4B3F"/>
    <w:rsid w:val="00EF5B7A"/>
    <w:rsid w:val="00EF5EF0"/>
    <w:rsid w:val="00F07F9B"/>
    <w:rsid w:val="00F173D3"/>
    <w:rsid w:val="00F213FA"/>
    <w:rsid w:val="00F35719"/>
    <w:rsid w:val="00F35855"/>
    <w:rsid w:val="00F41796"/>
    <w:rsid w:val="00F44AC7"/>
    <w:rsid w:val="00F45749"/>
    <w:rsid w:val="00F47AE5"/>
    <w:rsid w:val="00F47E1F"/>
    <w:rsid w:val="00F560B6"/>
    <w:rsid w:val="00F6046B"/>
    <w:rsid w:val="00F6352F"/>
    <w:rsid w:val="00F64B38"/>
    <w:rsid w:val="00F76A2B"/>
    <w:rsid w:val="00F80777"/>
    <w:rsid w:val="00F84FF7"/>
    <w:rsid w:val="00F86879"/>
    <w:rsid w:val="00F86EB7"/>
    <w:rsid w:val="00F92FBC"/>
    <w:rsid w:val="00F95D59"/>
    <w:rsid w:val="00FA40F0"/>
    <w:rsid w:val="00FA461B"/>
    <w:rsid w:val="00FA6244"/>
    <w:rsid w:val="00FA6558"/>
    <w:rsid w:val="00FB126F"/>
    <w:rsid w:val="00FB26C7"/>
    <w:rsid w:val="00FB5B0E"/>
    <w:rsid w:val="00FC1852"/>
    <w:rsid w:val="00FC6BC7"/>
    <w:rsid w:val="00FD013A"/>
    <w:rsid w:val="00FD04A8"/>
    <w:rsid w:val="00FD75CE"/>
    <w:rsid w:val="00FE025A"/>
    <w:rsid w:val="00FE10F0"/>
    <w:rsid w:val="00FE1925"/>
    <w:rsid w:val="00FF3BFD"/>
    <w:rsid w:val="00FF3C34"/>
    <w:rsid w:val="00FF583D"/>
    <w:rsid w:val="00FF7D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1EA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40F0"/>
    <w:rPr>
      <w:color w:val="0563C1" w:themeColor="hyperlink"/>
      <w:u w:val="single"/>
    </w:rPr>
  </w:style>
  <w:style w:type="paragraph" w:styleId="Header">
    <w:name w:val="header"/>
    <w:basedOn w:val="Normal"/>
    <w:link w:val="HeaderChar"/>
    <w:uiPriority w:val="99"/>
    <w:unhideWhenUsed/>
    <w:rsid w:val="00597A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A0D"/>
  </w:style>
  <w:style w:type="paragraph" w:styleId="Footer">
    <w:name w:val="footer"/>
    <w:basedOn w:val="Normal"/>
    <w:link w:val="FooterChar"/>
    <w:uiPriority w:val="99"/>
    <w:unhideWhenUsed/>
    <w:rsid w:val="00597A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A0D"/>
  </w:style>
  <w:style w:type="paragraph" w:styleId="NormalWeb">
    <w:name w:val="Normal (Web)"/>
    <w:basedOn w:val="Normal"/>
    <w:uiPriority w:val="99"/>
    <w:semiHidden/>
    <w:unhideWhenUsed/>
    <w:rsid w:val="00A16FA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16F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61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2432</Words>
  <Characters>13865</Characters>
  <Application>Microsoft Office Word</Application>
  <DocSecurity>0</DocSecurity>
  <Lines>115</Lines>
  <Paragraphs>32</Paragraphs>
  <ScaleCrop>false</ScaleCrop>
  <Company/>
  <LinksUpToDate>false</LinksUpToDate>
  <CharactersWithSpaces>16265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2020-02-18T07:46:00Z</dcterms:created>
  <dcterms:modified xsi:type="dcterms:W3CDTF">2020-02-18T07:46:00Z</dcterms:modified>
</cp:coreProperties>
</file>